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8BDB7" w14:textId="381260F8" w:rsidR="00CE70DB" w:rsidRDefault="00F9068E">
      <w:pPr>
        <w:rPr>
          <w:rStyle w:val="IntenseReference"/>
        </w:rPr>
      </w:pPr>
      <w:r w:rsidRPr="00F9068E">
        <w:rPr>
          <w:rStyle w:val="IntenseReference"/>
        </w:rPr>
        <w:t>We all have a role to play</w:t>
      </w:r>
    </w:p>
    <w:p w14:paraId="341EDF83" w14:textId="3E326BCE" w:rsidR="009B588C" w:rsidRDefault="009B588C">
      <w:pPr>
        <w:rPr>
          <w:rStyle w:val="SubtleReference"/>
        </w:rPr>
      </w:pPr>
      <w:r w:rsidRPr="009B588C">
        <w:rPr>
          <w:rStyle w:val="SubtleReference"/>
        </w:rPr>
        <w:t>GOAL: Identify actions individuals can take in their day to day work.</w:t>
      </w:r>
    </w:p>
    <w:p w14:paraId="039ED64D" w14:textId="77777777" w:rsidR="00F9068E" w:rsidRPr="00F9068E" w:rsidRDefault="00F9068E" w:rsidP="00F9068E">
      <w:pPr>
        <w:spacing w:after="0"/>
      </w:pPr>
      <w:r w:rsidRPr="00F9068E">
        <w:rPr>
          <w:i/>
          <w:iCs/>
        </w:rPr>
        <w:t>This exercise is adapted from the Winnipeg Regional Health Authority:</w:t>
      </w:r>
    </w:p>
    <w:p w14:paraId="63E5C84F" w14:textId="54096A2F" w:rsidR="007860DF" w:rsidRPr="00F9068E" w:rsidRDefault="007860DF" w:rsidP="007860DF">
      <w:pPr>
        <w:spacing w:after="0"/>
      </w:pPr>
    </w:p>
    <w:p w14:paraId="1FEFD5CE" w14:textId="77777777" w:rsidR="007860DF" w:rsidRDefault="00F9068E" w:rsidP="005E5089">
      <w:pPr>
        <w:spacing w:after="0"/>
      </w:pPr>
      <w:r w:rsidRPr="00F9068E">
        <w:t xml:space="preserve">Provide participants with print versions </w:t>
      </w:r>
      <w:r w:rsidR="007860DF">
        <w:t xml:space="preserve">of one or </w:t>
      </w:r>
      <w:proofErr w:type="gramStart"/>
      <w:r w:rsidR="007860DF">
        <w:t xml:space="preserve">both </w:t>
      </w:r>
      <w:r w:rsidRPr="00F9068E">
        <w:t>of the</w:t>
      </w:r>
      <w:r w:rsidR="007860DF">
        <w:t>se</w:t>
      </w:r>
      <w:proofErr w:type="gramEnd"/>
      <w:r w:rsidRPr="00F9068E">
        <w:t xml:space="preserve"> documents. </w:t>
      </w:r>
    </w:p>
    <w:p w14:paraId="1E3FDDBB" w14:textId="3D3628E6" w:rsidR="00F9068E" w:rsidRDefault="007860DF" w:rsidP="00016D2F">
      <w:pPr>
        <w:pStyle w:val="ListParagraph"/>
        <w:numPr>
          <w:ilvl w:val="0"/>
          <w:numId w:val="3"/>
        </w:numPr>
      </w:pPr>
      <w:r w:rsidRPr="007860DF">
        <w:rPr>
          <w:rStyle w:val="Hyperlink"/>
          <w:b/>
          <w:color w:val="404040" w:themeColor="text1" w:themeTint="BF"/>
          <w:u w:val="none"/>
        </w:rPr>
        <w:t>Role to Play</w:t>
      </w:r>
      <w:r w:rsidRPr="007860DF">
        <w:rPr>
          <w:rStyle w:val="Hyperlink"/>
          <w:color w:val="404040" w:themeColor="text1" w:themeTint="BF"/>
          <w:u w:val="none"/>
        </w:rPr>
        <w:t xml:space="preserve"> (</w:t>
      </w:r>
      <w:hyperlink r:id="rId7" w:history="1">
        <w:r w:rsidRPr="00B35D03">
          <w:rPr>
            <w:rStyle w:val="Hyperlink"/>
          </w:rPr>
          <w:t>http://www.wrha.mb.ca/about/healthequity/files/RoleToPlay.pdf</w:t>
        </w:r>
      </w:hyperlink>
      <w:r>
        <w:rPr>
          <w:rStyle w:val="Hyperlink"/>
        </w:rPr>
        <w:t>)</w:t>
      </w:r>
      <w:r>
        <w:t xml:space="preserve"> </w:t>
      </w:r>
      <w:r>
        <w:br/>
        <w:t xml:space="preserve">This is the simpler of the two, so you may wish to use only this one if health equity is a new topic for your organization or team. Invite participants to think about their own department (e.g., Public Health, Environmental Health, or Health Protection) if that is a better fit than “Patient Care” in the top blue circle. </w:t>
      </w:r>
    </w:p>
    <w:p w14:paraId="40B5C1C7" w14:textId="47863B94" w:rsidR="007860DF" w:rsidRDefault="007860DF" w:rsidP="007860DF">
      <w:pPr>
        <w:pStyle w:val="ListParagraph"/>
        <w:numPr>
          <w:ilvl w:val="0"/>
          <w:numId w:val="3"/>
        </w:numPr>
        <w:spacing w:after="0"/>
      </w:pPr>
      <w:r w:rsidRPr="007860DF">
        <w:rPr>
          <w:rStyle w:val="Hyperlink"/>
          <w:b/>
          <w:color w:val="404040" w:themeColor="text1" w:themeTint="BF"/>
          <w:u w:val="none"/>
        </w:rPr>
        <w:t>What Can I Do?</w:t>
      </w:r>
      <w:r w:rsidRPr="007860DF">
        <w:rPr>
          <w:rStyle w:val="Hyperlink"/>
          <w:color w:val="404040" w:themeColor="text1" w:themeTint="BF"/>
          <w:u w:val="none"/>
        </w:rPr>
        <w:t xml:space="preserve"> (</w:t>
      </w:r>
      <w:hyperlink r:id="rId8" w:history="1">
        <w:r w:rsidRPr="00900F36">
          <w:rPr>
            <w:rStyle w:val="Hyperlink"/>
          </w:rPr>
          <w:t>http://www.wrha.mb.ca/about/healthequity/files/WhatCanIDo.pdf</w:t>
        </w:r>
      </w:hyperlink>
      <w:r>
        <w:t>)</w:t>
      </w:r>
      <w:r>
        <w:br/>
        <w:t xml:space="preserve">This diagram is more complex, but useful to guide conversations and thinking about individual actions and organization capacity. You may invite participants to think about their own work (e.g., Inspections, Education, </w:t>
      </w:r>
      <w:r w:rsidR="005E5089">
        <w:t>or Health Promotion</w:t>
      </w:r>
      <w:r>
        <w:t xml:space="preserve">) if that is a better fit than “Clinical Care” in the inner green bubble. </w:t>
      </w:r>
      <w:r w:rsidR="005E5089">
        <w:t xml:space="preserve">The diagram illustrates places where health equity action might be taken. The second page provides ideas for how services could be made more equitable. Each program or region will differ, so you may add to these in your group discussion. </w:t>
      </w:r>
    </w:p>
    <w:p w14:paraId="35606A71" w14:textId="77777777" w:rsidR="007860DF" w:rsidRPr="00F9068E" w:rsidRDefault="007860DF" w:rsidP="007860DF">
      <w:pPr>
        <w:spacing w:after="0"/>
      </w:pPr>
    </w:p>
    <w:p w14:paraId="132A1E5C" w14:textId="2B582EDD" w:rsidR="00F9068E" w:rsidRPr="00F9068E" w:rsidRDefault="00F9068E" w:rsidP="00F9068E">
      <w:r w:rsidRPr="00F9068E">
        <w:t xml:space="preserve">In small groups or all together, consider the feasibility for </w:t>
      </w:r>
      <w:r w:rsidR="00CA3017">
        <w:t>EPHPs</w:t>
      </w:r>
      <w:r w:rsidRPr="00F9068E">
        <w:t xml:space="preserve"> to use these suggested actions. What could be implemented now? What might be the anticipated outcomes? Which actions have organizational barriers and how could they be overcome?</w:t>
      </w:r>
    </w:p>
    <w:p w14:paraId="51DB7794" w14:textId="77777777" w:rsidR="003D304D" w:rsidRPr="00F9068E" w:rsidRDefault="00DF20D2" w:rsidP="00F9068E">
      <w:pPr>
        <w:numPr>
          <w:ilvl w:val="0"/>
          <w:numId w:val="2"/>
        </w:numPr>
      </w:pPr>
      <w:r w:rsidRPr="00F9068E">
        <w:t>Consider using a “dignity” question when interacting with clients who might face barriers e.g., “What do I need to know about you as a person to work with you as effectively as possible?”</w:t>
      </w:r>
    </w:p>
    <w:p w14:paraId="6B873F88" w14:textId="77777777" w:rsidR="003D304D" w:rsidRPr="00F9068E" w:rsidRDefault="00DF20D2" w:rsidP="00F9068E">
      <w:pPr>
        <w:numPr>
          <w:ilvl w:val="0"/>
          <w:numId w:val="2"/>
        </w:numPr>
      </w:pPr>
      <w:r w:rsidRPr="00F9068E">
        <w:t>Listen genuinely and provide explanations that are easy to understand considering literacy, language, comprehension, attention, priorities, etc.</w:t>
      </w:r>
    </w:p>
    <w:p w14:paraId="3E9D2B49" w14:textId="77777777" w:rsidR="003D304D" w:rsidRPr="00F9068E" w:rsidRDefault="00DF20D2" w:rsidP="00F9068E">
      <w:pPr>
        <w:numPr>
          <w:ilvl w:val="0"/>
          <w:numId w:val="2"/>
        </w:numPr>
      </w:pPr>
      <w:r w:rsidRPr="00F9068E">
        <w:t>Factor social and economic factors into risk assessment and response plan (cost, accessibility, acceptability, feasibility, barriers).</w:t>
      </w:r>
    </w:p>
    <w:p w14:paraId="2E925222" w14:textId="77777777" w:rsidR="003D304D" w:rsidRPr="00F9068E" w:rsidRDefault="00DF20D2" w:rsidP="00F9068E">
      <w:pPr>
        <w:numPr>
          <w:ilvl w:val="0"/>
          <w:numId w:val="2"/>
        </w:numPr>
      </w:pPr>
      <w:r w:rsidRPr="00F9068E">
        <w:t>Collect and use local population health data and assessments to understand your community and clients as members.</w:t>
      </w:r>
    </w:p>
    <w:p w14:paraId="3E65A82F" w14:textId="77777777" w:rsidR="003D304D" w:rsidRPr="00F9068E" w:rsidRDefault="00DF20D2" w:rsidP="00F9068E">
      <w:pPr>
        <w:numPr>
          <w:ilvl w:val="0"/>
          <w:numId w:val="2"/>
        </w:numPr>
      </w:pPr>
      <w:r w:rsidRPr="00F9068E">
        <w:t>Build ongoing relationship of trust for continuity of service.</w:t>
      </w:r>
    </w:p>
    <w:p w14:paraId="5CF1F800" w14:textId="77777777" w:rsidR="003D304D" w:rsidRPr="00F9068E" w:rsidRDefault="00DF20D2" w:rsidP="00F9068E">
      <w:pPr>
        <w:numPr>
          <w:ilvl w:val="0"/>
          <w:numId w:val="2"/>
        </w:numPr>
      </w:pPr>
      <w:r w:rsidRPr="00F9068E">
        <w:t>Refer clients to supportive community programs and services. Use bc211 where appropriate.</w:t>
      </w:r>
    </w:p>
    <w:p w14:paraId="49C40B8A" w14:textId="77777777" w:rsidR="003D304D" w:rsidRPr="00F9068E" w:rsidRDefault="00DF20D2" w:rsidP="00F9068E">
      <w:pPr>
        <w:numPr>
          <w:ilvl w:val="0"/>
          <w:numId w:val="2"/>
        </w:numPr>
      </w:pPr>
      <w:r w:rsidRPr="00F9068E">
        <w:t>Provide client advocacy such as filling forms, letters for better housing, forms for work, increased funding, support program eligibility.</w:t>
      </w:r>
    </w:p>
    <w:p w14:paraId="78353022" w14:textId="409625E6" w:rsidR="00F9068E" w:rsidRDefault="00DF20D2" w:rsidP="00EB6114">
      <w:pPr>
        <w:numPr>
          <w:ilvl w:val="0"/>
          <w:numId w:val="2"/>
        </w:numPr>
      </w:pPr>
      <w:r w:rsidRPr="00F9068E">
        <w:t xml:space="preserve">Take notes and discuss service gaps and unsolved or recurring problems with your supervisors. </w:t>
      </w:r>
      <w:bookmarkStart w:id="0" w:name="_GoBack"/>
      <w:bookmarkEnd w:id="0"/>
    </w:p>
    <w:sectPr w:rsidR="00F9068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B0644" w14:textId="77777777" w:rsidR="00242472" w:rsidRDefault="00242472" w:rsidP="009A2330">
      <w:pPr>
        <w:spacing w:after="0" w:line="240" w:lineRule="auto"/>
      </w:pPr>
      <w:r>
        <w:separator/>
      </w:r>
    </w:p>
  </w:endnote>
  <w:endnote w:type="continuationSeparator" w:id="0">
    <w:p w14:paraId="7AF913D6" w14:textId="77777777" w:rsidR="00242472" w:rsidRDefault="00242472" w:rsidP="009A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C2A5" w14:textId="411924ED" w:rsidR="00370F3D" w:rsidRDefault="00370F3D">
    <w:pPr>
      <w:pStyle w:val="Footer"/>
    </w:pPr>
    <w:r>
      <w:t xml:space="preserve">VERSION: </w:t>
    </w:r>
    <w:r w:rsidR="00CA3017">
      <w:t xml:space="preserve">12 August </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C8647" w14:textId="77777777" w:rsidR="00242472" w:rsidRDefault="00242472" w:rsidP="009A2330">
      <w:pPr>
        <w:spacing w:after="0" w:line="240" w:lineRule="auto"/>
      </w:pPr>
      <w:r>
        <w:separator/>
      </w:r>
    </w:p>
  </w:footnote>
  <w:footnote w:type="continuationSeparator" w:id="0">
    <w:p w14:paraId="2D43E42F" w14:textId="77777777" w:rsidR="00242472" w:rsidRDefault="00242472" w:rsidP="009A2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7E01" w14:textId="77777777" w:rsidR="00D04167" w:rsidRPr="00FD24D6" w:rsidRDefault="00D04167" w:rsidP="00D04167">
    <w:pPr>
      <w:pStyle w:val="Heading2"/>
      <w:jc w:val="center"/>
      <w:rPr>
        <w:i/>
      </w:rPr>
    </w:pPr>
    <w:r w:rsidRPr="00FD24D6">
      <w:rPr>
        <w:i/>
      </w:rPr>
      <w:t>Health Equity in Environmental Public Health Workshop Toolkit</w:t>
    </w:r>
  </w:p>
  <w:p w14:paraId="761FC886" w14:textId="77777777" w:rsidR="00D04167" w:rsidRPr="00D04167" w:rsidRDefault="00D04167" w:rsidP="00D04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46657"/>
    <w:multiLevelType w:val="hybridMultilevel"/>
    <w:tmpl w:val="EFA8C9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4040FD"/>
    <w:multiLevelType w:val="hybridMultilevel"/>
    <w:tmpl w:val="C3D2DD84"/>
    <w:lvl w:ilvl="0" w:tplc="8C6A20C0">
      <w:start w:val="1"/>
      <w:numFmt w:val="bullet"/>
      <w:lvlText w:val="•"/>
      <w:lvlJc w:val="left"/>
      <w:pPr>
        <w:tabs>
          <w:tab w:val="num" w:pos="720"/>
        </w:tabs>
        <w:ind w:left="720" w:hanging="360"/>
      </w:pPr>
      <w:rPr>
        <w:rFonts w:ascii="Arial" w:hAnsi="Arial" w:hint="default"/>
      </w:rPr>
    </w:lvl>
    <w:lvl w:ilvl="1" w:tplc="CA860806" w:tentative="1">
      <w:start w:val="1"/>
      <w:numFmt w:val="bullet"/>
      <w:lvlText w:val="•"/>
      <w:lvlJc w:val="left"/>
      <w:pPr>
        <w:tabs>
          <w:tab w:val="num" w:pos="1440"/>
        </w:tabs>
        <w:ind w:left="1440" w:hanging="360"/>
      </w:pPr>
      <w:rPr>
        <w:rFonts w:ascii="Arial" w:hAnsi="Arial" w:hint="default"/>
      </w:rPr>
    </w:lvl>
    <w:lvl w:ilvl="2" w:tplc="317CE0C4" w:tentative="1">
      <w:start w:val="1"/>
      <w:numFmt w:val="bullet"/>
      <w:lvlText w:val="•"/>
      <w:lvlJc w:val="left"/>
      <w:pPr>
        <w:tabs>
          <w:tab w:val="num" w:pos="2160"/>
        </w:tabs>
        <w:ind w:left="2160" w:hanging="360"/>
      </w:pPr>
      <w:rPr>
        <w:rFonts w:ascii="Arial" w:hAnsi="Arial" w:hint="default"/>
      </w:rPr>
    </w:lvl>
    <w:lvl w:ilvl="3" w:tplc="54D83270" w:tentative="1">
      <w:start w:val="1"/>
      <w:numFmt w:val="bullet"/>
      <w:lvlText w:val="•"/>
      <w:lvlJc w:val="left"/>
      <w:pPr>
        <w:tabs>
          <w:tab w:val="num" w:pos="2880"/>
        </w:tabs>
        <w:ind w:left="2880" w:hanging="360"/>
      </w:pPr>
      <w:rPr>
        <w:rFonts w:ascii="Arial" w:hAnsi="Arial" w:hint="default"/>
      </w:rPr>
    </w:lvl>
    <w:lvl w:ilvl="4" w:tplc="4C106204" w:tentative="1">
      <w:start w:val="1"/>
      <w:numFmt w:val="bullet"/>
      <w:lvlText w:val="•"/>
      <w:lvlJc w:val="left"/>
      <w:pPr>
        <w:tabs>
          <w:tab w:val="num" w:pos="3600"/>
        </w:tabs>
        <w:ind w:left="3600" w:hanging="360"/>
      </w:pPr>
      <w:rPr>
        <w:rFonts w:ascii="Arial" w:hAnsi="Arial" w:hint="default"/>
      </w:rPr>
    </w:lvl>
    <w:lvl w:ilvl="5" w:tplc="B046E748" w:tentative="1">
      <w:start w:val="1"/>
      <w:numFmt w:val="bullet"/>
      <w:lvlText w:val="•"/>
      <w:lvlJc w:val="left"/>
      <w:pPr>
        <w:tabs>
          <w:tab w:val="num" w:pos="4320"/>
        </w:tabs>
        <w:ind w:left="4320" w:hanging="360"/>
      </w:pPr>
      <w:rPr>
        <w:rFonts w:ascii="Arial" w:hAnsi="Arial" w:hint="default"/>
      </w:rPr>
    </w:lvl>
    <w:lvl w:ilvl="6" w:tplc="4B78A008" w:tentative="1">
      <w:start w:val="1"/>
      <w:numFmt w:val="bullet"/>
      <w:lvlText w:val="•"/>
      <w:lvlJc w:val="left"/>
      <w:pPr>
        <w:tabs>
          <w:tab w:val="num" w:pos="5040"/>
        </w:tabs>
        <w:ind w:left="5040" w:hanging="360"/>
      </w:pPr>
      <w:rPr>
        <w:rFonts w:ascii="Arial" w:hAnsi="Arial" w:hint="default"/>
      </w:rPr>
    </w:lvl>
    <w:lvl w:ilvl="7" w:tplc="FF3C554C" w:tentative="1">
      <w:start w:val="1"/>
      <w:numFmt w:val="bullet"/>
      <w:lvlText w:val="•"/>
      <w:lvlJc w:val="left"/>
      <w:pPr>
        <w:tabs>
          <w:tab w:val="num" w:pos="5760"/>
        </w:tabs>
        <w:ind w:left="5760" w:hanging="360"/>
      </w:pPr>
      <w:rPr>
        <w:rFonts w:ascii="Arial" w:hAnsi="Arial" w:hint="default"/>
      </w:rPr>
    </w:lvl>
    <w:lvl w:ilvl="8" w:tplc="99F4BE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996AF8"/>
    <w:multiLevelType w:val="hybridMultilevel"/>
    <w:tmpl w:val="D4F203BE"/>
    <w:lvl w:ilvl="0" w:tplc="0F408204">
      <w:start w:val="1"/>
      <w:numFmt w:val="bullet"/>
      <w:lvlText w:val="•"/>
      <w:lvlJc w:val="left"/>
      <w:pPr>
        <w:tabs>
          <w:tab w:val="num" w:pos="720"/>
        </w:tabs>
        <w:ind w:left="720" w:hanging="360"/>
      </w:pPr>
      <w:rPr>
        <w:rFonts w:ascii="Arial" w:hAnsi="Arial" w:hint="default"/>
      </w:rPr>
    </w:lvl>
    <w:lvl w:ilvl="1" w:tplc="653070D0" w:tentative="1">
      <w:start w:val="1"/>
      <w:numFmt w:val="bullet"/>
      <w:lvlText w:val="•"/>
      <w:lvlJc w:val="left"/>
      <w:pPr>
        <w:tabs>
          <w:tab w:val="num" w:pos="1440"/>
        </w:tabs>
        <w:ind w:left="1440" w:hanging="360"/>
      </w:pPr>
      <w:rPr>
        <w:rFonts w:ascii="Arial" w:hAnsi="Arial" w:hint="default"/>
      </w:rPr>
    </w:lvl>
    <w:lvl w:ilvl="2" w:tplc="5074F91C" w:tentative="1">
      <w:start w:val="1"/>
      <w:numFmt w:val="bullet"/>
      <w:lvlText w:val="•"/>
      <w:lvlJc w:val="left"/>
      <w:pPr>
        <w:tabs>
          <w:tab w:val="num" w:pos="2160"/>
        </w:tabs>
        <w:ind w:left="2160" w:hanging="360"/>
      </w:pPr>
      <w:rPr>
        <w:rFonts w:ascii="Arial" w:hAnsi="Arial" w:hint="default"/>
      </w:rPr>
    </w:lvl>
    <w:lvl w:ilvl="3" w:tplc="7458DB88" w:tentative="1">
      <w:start w:val="1"/>
      <w:numFmt w:val="bullet"/>
      <w:lvlText w:val="•"/>
      <w:lvlJc w:val="left"/>
      <w:pPr>
        <w:tabs>
          <w:tab w:val="num" w:pos="2880"/>
        </w:tabs>
        <w:ind w:left="2880" w:hanging="360"/>
      </w:pPr>
      <w:rPr>
        <w:rFonts w:ascii="Arial" w:hAnsi="Arial" w:hint="default"/>
      </w:rPr>
    </w:lvl>
    <w:lvl w:ilvl="4" w:tplc="70169254" w:tentative="1">
      <w:start w:val="1"/>
      <w:numFmt w:val="bullet"/>
      <w:lvlText w:val="•"/>
      <w:lvlJc w:val="left"/>
      <w:pPr>
        <w:tabs>
          <w:tab w:val="num" w:pos="3600"/>
        </w:tabs>
        <w:ind w:left="3600" w:hanging="360"/>
      </w:pPr>
      <w:rPr>
        <w:rFonts w:ascii="Arial" w:hAnsi="Arial" w:hint="default"/>
      </w:rPr>
    </w:lvl>
    <w:lvl w:ilvl="5" w:tplc="1B98DF90" w:tentative="1">
      <w:start w:val="1"/>
      <w:numFmt w:val="bullet"/>
      <w:lvlText w:val="•"/>
      <w:lvlJc w:val="left"/>
      <w:pPr>
        <w:tabs>
          <w:tab w:val="num" w:pos="4320"/>
        </w:tabs>
        <w:ind w:left="4320" w:hanging="360"/>
      </w:pPr>
      <w:rPr>
        <w:rFonts w:ascii="Arial" w:hAnsi="Arial" w:hint="default"/>
      </w:rPr>
    </w:lvl>
    <w:lvl w:ilvl="6" w:tplc="198A216C" w:tentative="1">
      <w:start w:val="1"/>
      <w:numFmt w:val="bullet"/>
      <w:lvlText w:val="•"/>
      <w:lvlJc w:val="left"/>
      <w:pPr>
        <w:tabs>
          <w:tab w:val="num" w:pos="5040"/>
        </w:tabs>
        <w:ind w:left="5040" w:hanging="360"/>
      </w:pPr>
      <w:rPr>
        <w:rFonts w:ascii="Arial" w:hAnsi="Arial" w:hint="default"/>
      </w:rPr>
    </w:lvl>
    <w:lvl w:ilvl="7" w:tplc="ADEEFE04" w:tentative="1">
      <w:start w:val="1"/>
      <w:numFmt w:val="bullet"/>
      <w:lvlText w:val="•"/>
      <w:lvlJc w:val="left"/>
      <w:pPr>
        <w:tabs>
          <w:tab w:val="num" w:pos="5760"/>
        </w:tabs>
        <w:ind w:left="5760" w:hanging="360"/>
      </w:pPr>
      <w:rPr>
        <w:rFonts w:ascii="Arial" w:hAnsi="Arial" w:hint="default"/>
      </w:rPr>
    </w:lvl>
    <w:lvl w:ilvl="8" w:tplc="861C6F4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30"/>
    <w:rsid w:val="000D3115"/>
    <w:rsid w:val="00163B98"/>
    <w:rsid w:val="00193262"/>
    <w:rsid w:val="0019718B"/>
    <w:rsid w:val="00242472"/>
    <w:rsid w:val="00370F3D"/>
    <w:rsid w:val="003D304D"/>
    <w:rsid w:val="004726DB"/>
    <w:rsid w:val="00587727"/>
    <w:rsid w:val="005E5089"/>
    <w:rsid w:val="005F01A7"/>
    <w:rsid w:val="006F067D"/>
    <w:rsid w:val="007860DF"/>
    <w:rsid w:val="00796A9C"/>
    <w:rsid w:val="007A7439"/>
    <w:rsid w:val="00952764"/>
    <w:rsid w:val="009A2330"/>
    <w:rsid w:val="009B588C"/>
    <w:rsid w:val="00B8186E"/>
    <w:rsid w:val="00C545CC"/>
    <w:rsid w:val="00C70EAA"/>
    <w:rsid w:val="00CA0D00"/>
    <w:rsid w:val="00CA3017"/>
    <w:rsid w:val="00CE70DB"/>
    <w:rsid w:val="00D04167"/>
    <w:rsid w:val="00DF20D2"/>
    <w:rsid w:val="00F906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897B"/>
  <w15:chartTrackingRefBased/>
  <w15:docId w15:val="{D5F2F321-E1AE-4382-9E6A-58F010EC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CA" w:eastAsia="en-US"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6DB"/>
    <w:rPr>
      <w:sz w:val="22"/>
    </w:rPr>
  </w:style>
  <w:style w:type="paragraph" w:styleId="Heading2">
    <w:name w:val="heading 2"/>
    <w:basedOn w:val="Normal"/>
    <w:next w:val="Normal"/>
    <w:link w:val="Heading2Char"/>
    <w:uiPriority w:val="9"/>
    <w:unhideWhenUsed/>
    <w:qFormat/>
    <w:rsid w:val="00D041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330"/>
    <w:rPr>
      <w:sz w:val="22"/>
    </w:rPr>
  </w:style>
  <w:style w:type="paragraph" w:styleId="Footer">
    <w:name w:val="footer"/>
    <w:basedOn w:val="Normal"/>
    <w:link w:val="FooterChar"/>
    <w:uiPriority w:val="99"/>
    <w:unhideWhenUsed/>
    <w:rsid w:val="009A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330"/>
    <w:rPr>
      <w:sz w:val="22"/>
    </w:rPr>
  </w:style>
  <w:style w:type="character" w:styleId="Hyperlink">
    <w:name w:val="Hyperlink"/>
    <w:basedOn w:val="DefaultParagraphFont"/>
    <w:uiPriority w:val="99"/>
    <w:unhideWhenUsed/>
    <w:rsid w:val="00D04167"/>
    <w:rPr>
      <w:color w:val="0563C1" w:themeColor="hyperlink"/>
      <w:u w:val="single"/>
    </w:rPr>
  </w:style>
  <w:style w:type="character" w:styleId="UnresolvedMention">
    <w:name w:val="Unresolved Mention"/>
    <w:basedOn w:val="DefaultParagraphFont"/>
    <w:uiPriority w:val="99"/>
    <w:semiHidden/>
    <w:unhideWhenUsed/>
    <w:rsid w:val="00D04167"/>
    <w:rPr>
      <w:color w:val="808080"/>
      <w:shd w:val="clear" w:color="auto" w:fill="E6E6E6"/>
    </w:rPr>
  </w:style>
  <w:style w:type="paragraph" w:styleId="ListParagraph">
    <w:name w:val="List Paragraph"/>
    <w:basedOn w:val="Normal"/>
    <w:uiPriority w:val="34"/>
    <w:qFormat/>
    <w:rsid w:val="00D04167"/>
    <w:pPr>
      <w:ind w:left="720"/>
      <w:contextualSpacing/>
    </w:pPr>
  </w:style>
  <w:style w:type="character" w:styleId="IntenseReference">
    <w:name w:val="Intense Reference"/>
    <w:basedOn w:val="DefaultParagraphFont"/>
    <w:uiPriority w:val="32"/>
    <w:qFormat/>
    <w:rsid w:val="00D04167"/>
    <w:rPr>
      <w:b/>
      <w:bCs/>
      <w:smallCaps/>
      <w:color w:val="4472C4" w:themeColor="accent1"/>
      <w:spacing w:val="5"/>
    </w:rPr>
  </w:style>
  <w:style w:type="character" w:customStyle="1" w:styleId="Heading2Char">
    <w:name w:val="Heading 2 Char"/>
    <w:basedOn w:val="DefaultParagraphFont"/>
    <w:link w:val="Heading2"/>
    <w:uiPriority w:val="9"/>
    <w:rsid w:val="00D04167"/>
    <w:rPr>
      <w:rFonts w:asciiTheme="majorHAnsi" w:eastAsiaTheme="majorEastAsia" w:hAnsiTheme="majorHAnsi" w:cstheme="majorBidi"/>
      <w:color w:val="2F5496" w:themeColor="accent1" w:themeShade="BF"/>
      <w:sz w:val="26"/>
      <w:szCs w:val="26"/>
    </w:rPr>
  </w:style>
  <w:style w:type="character" w:styleId="SubtleReference">
    <w:name w:val="Subtle Reference"/>
    <w:basedOn w:val="DefaultParagraphFont"/>
    <w:uiPriority w:val="31"/>
    <w:qFormat/>
    <w:rsid w:val="009B588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17132">
      <w:bodyDiv w:val="1"/>
      <w:marLeft w:val="0"/>
      <w:marRight w:val="0"/>
      <w:marTop w:val="0"/>
      <w:marBottom w:val="0"/>
      <w:divBdr>
        <w:top w:val="none" w:sz="0" w:space="0" w:color="auto"/>
        <w:left w:val="none" w:sz="0" w:space="0" w:color="auto"/>
        <w:bottom w:val="none" w:sz="0" w:space="0" w:color="auto"/>
        <w:right w:val="none" w:sz="0" w:space="0" w:color="auto"/>
      </w:divBdr>
      <w:divsChild>
        <w:div w:id="1020163804">
          <w:marLeft w:val="547"/>
          <w:marRight w:val="0"/>
          <w:marTop w:val="134"/>
          <w:marBottom w:val="0"/>
          <w:divBdr>
            <w:top w:val="none" w:sz="0" w:space="0" w:color="auto"/>
            <w:left w:val="none" w:sz="0" w:space="0" w:color="auto"/>
            <w:bottom w:val="none" w:sz="0" w:space="0" w:color="auto"/>
            <w:right w:val="none" w:sz="0" w:space="0" w:color="auto"/>
          </w:divBdr>
        </w:div>
        <w:div w:id="710693517">
          <w:marLeft w:val="547"/>
          <w:marRight w:val="0"/>
          <w:marTop w:val="134"/>
          <w:marBottom w:val="0"/>
          <w:divBdr>
            <w:top w:val="none" w:sz="0" w:space="0" w:color="auto"/>
            <w:left w:val="none" w:sz="0" w:space="0" w:color="auto"/>
            <w:bottom w:val="none" w:sz="0" w:space="0" w:color="auto"/>
            <w:right w:val="none" w:sz="0" w:space="0" w:color="auto"/>
          </w:divBdr>
        </w:div>
        <w:div w:id="942767947">
          <w:marLeft w:val="547"/>
          <w:marRight w:val="0"/>
          <w:marTop w:val="134"/>
          <w:marBottom w:val="0"/>
          <w:divBdr>
            <w:top w:val="none" w:sz="0" w:space="0" w:color="auto"/>
            <w:left w:val="none" w:sz="0" w:space="0" w:color="auto"/>
            <w:bottom w:val="none" w:sz="0" w:space="0" w:color="auto"/>
            <w:right w:val="none" w:sz="0" w:space="0" w:color="auto"/>
          </w:divBdr>
        </w:div>
        <w:div w:id="609748690">
          <w:marLeft w:val="547"/>
          <w:marRight w:val="0"/>
          <w:marTop w:val="134"/>
          <w:marBottom w:val="0"/>
          <w:divBdr>
            <w:top w:val="none" w:sz="0" w:space="0" w:color="auto"/>
            <w:left w:val="none" w:sz="0" w:space="0" w:color="auto"/>
            <w:bottom w:val="none" w:sz="0" w:space="0" w:color="auto"/>
            <w:right w:val="none" w:sz="0" w:space="0" w:color="auto"/>
          </w:divBdr>
        </w:div>
        <w:div w:id="1302467402">
          <w:marLeft w:val="547"/>
          <w:marRight w:val="0"/>
          <w:marTop w:val="134"/>
          <w:marBottom w:val="0"/>
          <w:divBdr>
            <w:top w:val="none" w:sz="0" w:space="0" w:color="auto"/>
            <w:left w:val="none" w:sz="0" w:space="0" w:color="auto"/>
            <w:bottom w:val="none" w:sz="0" w:space="0" w:color="auto"/>
            <w:right w:val="none" w:sz="0" w:space="0" w:color="auto"/>
          </w:divBdr>
        </w:div>
      </w:divsChild>
    </w:div>
    <w:div w:id="546769279">
      <w:bodyDiv w:val="1"/>
      <w:marLeft w:val="0"/>
      <w:marRight w:val="0"/>
      <w:marTop w:val="0"/>
      <w:marBottom w:val="0"/>
      <w:divBdr>
        <w:top w:val="none" w:sz="0" w:space="0" w:color="auto"/>
        <w:left w:val="none" w:sz="0" w:space="0" w:color="auto"/>
        <w:bottom w:val="none" w:sz="0" w:space="0" w:color="auto"/>
        <w:right w:val="none" w:sz="0" w:space="0" w:color="auto"/>
      </w:divBdr>
      <w:divsChild>
        <w:div w:id="1186747432">
          <w:marLeft w:val="274"/>
          <w:marRight w:val="0"/>
          <w:marTop w:val="0"/>
          <w:marBottom w:val="0"/>
          <w:divBdr>
            <w:top w:val="none" w:sz="0" w:space="0" w:color="auto"/>
            <w:left w:val="none" w:sz="0" w:space="0" w:color="auto"/>
            <w:bottom w:val="none" w:sz="0" w:space="0" w:color="auto"/>
            <w:right w:val="none" w:sz="0" w:space="0" w:color="auto"/>
          </w:divBdr>
        </w:div>
        <w:div w:id="760873824">
          <w:marLeft w:val="274"/>
          <w:marRight w:val="0"/>
          <w:marTop w:val="0"/>
          <w:marBottom w:val="0"/>
          <w:divBdr>
            <w:top w:val="none" w:sz="0" w:space="0" w:color="auto"/>
            <w:left w:val="none" w:sz="0" w:space="0" w:color="auto"/>
            <w:bottom w:val="none" w:sz="0" w:space="0" w:color="auto"/>
            <w:right w:val="none" w:sz="0" w:space="0" w:color="auto"/>
          </w:divBdr>
        </w:div>
        <w:div w:id="451830466">
          <w:marLeft w:val="274"/>
          <w:marRight w:val="0"/>
          <w:marTop w:val="0"/>
          <w:marBottom w:val="0"/>
          <w:divBdr>
            <w:top w:val="none" w:sz="0" w:space="0" w:color="auto"/>
            <w:left w:val="none" w:sz="0" w:space="0" w:color="auto"/>
            <w:bottom w:val="none" w:sz="0" w:space="0" w:color="auto"/>
            <w:right w:val="none" w:sz="0" w:space="0" w:color="auto"/>
          </w:divBdr>
        </w:div>
        <w:div w:id="1636374547">
          <w:marLeft w:val="274"/>
          <w:marRight w:val="0"/>
          <w:marTop w:val="0"/>
          <w:marBottom w:val="0"/>
          <w:divBdr>
            <w:top w:val="none" w:sz="0" w:space="0" w:color="auto"/>
            <w:left w:val="none" w:sz="0" w:space="0" w:color="auto"/>
            <w:bottom w:val="none" w:sz="0" w:space="0" w:color="auto"/>
            <w:right w:val="none" w:sz="0" w:space="0" w:color="auto"/>
          </w:divBdr>
        </w:div>
        <w:div w:id="1160468308">
          <w:marLeft w:val="274"/>
          <w:marRight w:val="0"/>
          <w:marTop w:val="0"/>
          <w:marBottom w:val="0"/>
          <w:divBdr>
            <w:top w:val="none" w:sz="0" w:space="0" w:color="auto"/>
            <w:left w:val="none" w:sz="0" w:space="0" w:color="auto"/>
            <w:bottom w:val="none" w:sz="0" w:space="0" w:color="auto"/>
            <w:right w:val="none" w:sz="0" w:space="0" w:color="auto"/>
          </w:divBdr>
        </w:div>
        <w:div w:id="623850165">
          <w:marLeft w:val="274"/>
          <w:marRight w:val="0"/>
          <w:marTop w:val="0"/>
          <w:marBottom w:val="0"/>
          <w:divBdr>
            <w:top w:val="none" w:sz="0" w:space="0" w:color="auto"/>
            <w:left w:val="none" w:sz="0" w:space="0" w:color="auto"/>
            <w:bottom w:val="none" w:sz="0" w:space="0" w:color="auto"/>
            <w:right w:val="none" w:sz="0" w:space="0" w:color="auto"/>
          </w:divBdr>
        </w:div>
        <w:div w:id="2101024557">
          <w:marLeft w:val="274"/>
          <w:marRight w:val="0"/>
          <w:marTop w:val="0"/>
          <w:marBottom w:val="0"/>
          <w:divBdr>
            <w:top w:val="none" w:sz="0" w:space="0" w:color="auto"/>
            <w:left w:val="none" w:sz="0" w:space="0" w:color="auto"/>
            <w:bottom w:val="none" w:sz="0" w:space="0" w:color="auto"/>
            <w:right w:val="none" w:sz="0" w:space="0" w:color="auto"/>
          </w:divBdr>
        </w:div>
        <w:div w:id="2048748282">
          <w:marLeft w:val="274"/>
          <w:marRight w:val="0"/>
          <w:marTop w:val="0"/>
          <w:marBottom w:val="0"/>
          <w:divBdr>
            <w:top w:val="none" w:sz="0" w:space="0" w:color="auto"/>
            <w:left w:val="none" w:sz="0" w:space="0" w:color="auto"/>
            <w:bottom w:val="none" w:sz="0" w:space="0" w:color="auto"/>
            <w:right w:val="none" w:sz="0" w:space="0" w:color="auto"/>
          </w:divBdr>
        </w:div>
      </w:divsChild>
    </w:div>
    <w:div w:id="20718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ha.mb.ca/about/healthequity/files/WhatCanIDo.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wrha.mb.ca/about/healthequity/files/RoleToPlay.pdf"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E157DFA19A3FFD4F80D0469ADC363A00" ma:contentTypeVersion="9" ma:contentTypeDescription="Create a new document." ma:contentTypeScope="" ma:versionID="99bebdff1f42fd1e658056fb63fa30bc">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e36369f956aa94e82d4b5d374d1a892a"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Audience1>
    <k05366dfea714127ab8826af69afb524 xmlns="2a1cf95e-a2cb-4d0f-9c16-7db7b13007cf">
      <Terms xmlns="http://schemas.microsoft.com/office/infopath/2007/PartnerControls"/>
    </k05366dfea714127ab8826af69afb524>
    <TaxCatchAll xmlns="2a1cf95e-a2cb-4d0f-9c16-7db7b13007cf">
      <Value>194</Value>
    </TaxCatchAll>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Population ＆ Public Health Report</TermName>
          <TermId xmlns="http://schemas.microsoft.com/office/infopath/2007/PartnerControls">ba088e30-df66-4f9e-951c-1f0a77de49f0</TermId>
        </TermInfo>
      </Terms>
    </d54dd449c2c54af89444c3906a20b699>
    <_dlc_DocId xmlns="2a1cf95e-a2cb-4d0f-9c16-7db7b13007cf">BCCDC-1957235667-320</_dlc_DocId>
    <_dlc_DocIdUrl xmlns="2a1cf95e-a2cb-4d0f-9c16-7db7b13007cf">
      <Url>http://www.bccdc.ca/pop-public-health/_layouts/15/DocIdRedir.aspx?ID=BCCDC-1957235667-320</Url>
      <Description>BCCDC-1957235667-320</Description>
    </_dlc_DocIdUrl>
  </documentManagement>
</p:properties>
</file>

<file path=customXml/itemProps1.xml><?xml version="1.0" encoding="utf-8"?>
<ds:datastoreItem xmlns:ds="http://schemas.openxmlformats.org/officeDocument/2006/customXml" ds:itemID="{F121C2ED-ED41-4FDD-AE30-C45E08C162BB}"/>
</file>

<file path=customXml/itemProps2.xml><?xml version="1.0" encoding="utf-8"?>
<ds:datastoreItem xmlns:ds="http://schemas.openxmlformats.org/officeDocument/2006/customXml" ds:itemID="{AB72AC62-F9C4-4C65-8D2D-8C9FE92F08AD}"/>
</file>

<file path=customXml/itemProps3.xml><?xml version="1.0" encoding="utf-8"?>
<ds:datastoreItem xmlns:ds="http://schemas.openxmlformats.org/officeDocument/2006/customXml" ds:itemID="{968E9BC8-B635-4BC6-9A81-F784F7DE4AA2}"/>
</file>

<file path=customXml/itemProps4.xml><?xml version="1.0" encoding="utf-8"?>
<ds:datastoreItem xmlns:ds="http://schemas.openxmlformats.org/officeDocument/2006/customXml" ds:itemID="{2B26E7DF-079A-4CFE-A808-E402D3DFE782}"/>
</file>

<file path=docProps/app.xml><?xml version="1.0" encoding="utf-8"?>
<Properties xmlns="http://schemas.openxmlformats.org/officeDocument/2006/extended-properties" xmlns:vt="http://schemas.openxmlformats.org/officeDocument/2006/docPropsVTypes">
  <Template>Normal.dotm</Template>
  <TotalTime>14</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to play exercise</dc:title>
  <dc:subject/>
  <dc:creator>Karen Rideout</dc:creator>
  <cp:keywords/>
  <dc:description/>
  <cp:lastModifiedBy>Karen Rideout</cp:lastModifiedBy>
  <cp:revision>6</cp:revision>
  <dcterms:created xsi:type="dcterms:W3CDTF">2018-06-25T18:36:00Z</dcterms:created>
  <dcterms:modified xsi:type="dcterms:W3CDTF">2018-11-17T00:44:00Z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0x010100DA361FFC15F23349803C3C69CD01CD2300E157DFA19A3FFD4F80D0469ADC363A00</vt:lpwstr>
  </property>
  <property fmtid="{D5CDD505-2E9C-101B-9397-08002B2CF9AE}" pid="3" name="_dlc_DocIdItemGuid">
    <vt:lpwstr>316de7a1-e25f-41a8-87cd-8aaf29f3c7c7</vt:lpwstr>
  </property>
  <property fmtid="{D5CDD505-2E9C-101B-9397-08002B2CF9AE}" pid="4" name="ResourceCategory">
    <vt:lpwstr>194;#Population ＆ Public Health Report|ba088e30-df66-4f9e-951c-1f0a77de49f0</vt:lpwstr>
  </property>
  <property fmtid="{D5CDD505-2E9C-101B-9397-08002B2CF9AE}" pid="5" name="ResourceType">
    <vt:lpwstr/>
  </property>
</Properties>
</file>