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1FDAB" w14:textId="77777777" w:rsidR="005142D9" w:rsidRPr="005142D9" w:rsidRDefault="005142D9" w:rsidP="005142D9">
      <w:pPr>
        <w:pStyle w:val="Heading2"/>
        <w:rPr>
          <w:b/>
          <w:i/>
          <w:u w:val="single"/>
        </w:rPr>
      </w:pPr>
      <w:r w:rsidRPr="005142D9">
        <w:rPr>
          <w:b/>
          <w:i/>
          <w:u w:val="single"/>
          <w:lang w:val="en-US"/>
        </w:rPr>
        <w:t>Health Equity in Environmental Public Health – Workshop Toolkit</w:t>
      </w:r>
    </w:p>
    <w:p w14:paraId="6298B985" w14:textId="74534166" w:rsidR="0035117A" w:rsidRPr="005132C8" w:rsidRDefault="005A0792" w:rsidP="0035117A">
      <w:pPr>
        <w:pStyle w:val="Heading2"/>
        <w:rPr>
          <w:b/>
          <w:u w:val="single"/>
        </w:rPr>
      </w:pPr>
      <w:r>
        <w:rPr>
          <w:b/>
          <w:u w:val="single"/>
        </w:rPr>
        <w:t xml:space="preserve">Organizational Capacity for </w:t>
      </w:r>
      <w:r w:rsidR="00735540">
        <w:rPr>
          <w:b/>
          <w:u w:val="single"/>
        </w:rPr>
        <w:t xml:space="preserve">Health Equity Workshop </w:t>
      </w:r>
      <w:r w:rsidR="00C86284">
        <w:rPr>
          <w:b/>
          <w:u w:val="single"/>
        </w:rPr>
        <w:t>Agenda</w:t>
      </w:r>
    </w:p>
    <w:p w14:paraId="49FBF953" w14:textId="6C4CA5F3" w:rsidR="0035117A" w:rsidRDefault="0035117A"/>
    <w:tbl>
      <w:tblPr>
        <w:tblStyle w:val="GridTable1Light-Accent3"/>
        <w:tblW w:w="0" w:type="auto"/>
        <w:tblLook w:val="0680" w:firstRow="0" w:lastRow="0" w:firstColumn="1" w:lastColumn="0" w:noHBand="1" w:noVBand="1"/>
      </w:tblPr>
      <w:tblGrid>
        <w:gridCol w:w="1413"/>
        <w:gridCol w:w="7937"/>
      </w:tblGrid>
      <w:tr w:rsidR="005132C8" w:rsidRPr="005132C8" w14:paraId="18131721" w14:textId="70D9090A" w:rsidTr="005132C8">
        <w:trPr>
          <w:trHeight w:val="340"/>
        </w:trPr>
        <w:tc>
          <w:tcPr>
            <w:cnfStyle w:val="001000000000" w:firstRow="0" w:lastRow="0" w:firstColumn="1" w:lastColumn="0" w:oddVBand="0" w:evenVBand="0" w:oddHBand="0" w:evenHBand="0" w:firstRowFirstColumn="0" w:firstRowLastColumn="0" w:lastRowFirstColumn="0" w:lastRowLastColumn="0"/>
            <w:tcW w:w="1413" w:type="dxa"/>
          </w:tcPr>
          <w:p w14:paraId="79A05CBF" w14:textId="77777777" w:rsidR="005132C8" w:rsidRPr="005132C8" w:rsidRDefault="005132C8" w:rsidP="005132C8">
            <w:pPr>
              <w:rPr>
                <w:rFonts w:asciiTheme="minorHAnsi" w:hAnsiTheme="minorHAnsi" w:cstheme="minorHAnsi"/>
                <w:bCs w:val="0"/>
              </w:rPr>
            </w:pPr>
            <w:r w:rsidRPr="005132C8">
              <w:rPr>
                <w:rFonts w:asciiTheme="minorHAnsi" w:hAnsiTheme="minorHAnsi" w:cstheme="minorHAnsi"/>
                <w:lang w:val="en-US"/>
              </w:rPr>
              <w:t xml:space="preserve">Title: </w:t>
            </w:r>
          </w:p>
        </w:tc>
        <w:tc>
          <w:tcPr>
            <w:tcW w:w="7937" w:type="dxa"/>
          </w:tcPr>
          <w:p w14:paraId="513CAB49" w14:textId="604BECE2" w:rsidR="005132C8" w:rsidRPr="00C86284" w:rsidRDefault="005A0792" w:rsidP="005132C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t>Building o</w:t>
            </w:r>
            <w:r w:rsidR="00892A27" w:rsidRPr="00892A27">
              <w:t>rganizational capacity for health equity action</w:t>
            </w:r>
          </w:p>
        </w:tc>
      </w:tr>
      <w:tr w:rsidR="005132C8" w:rsidRPr="005132C8" w14:paraId="3B5EB477" w14:textId="1F83E3AB" w:rsidTr="005132C8">
        <w:trPr>
          <w:trHeight w:val="340"/>
        </w:trPr>
        <w:tc>
          <w:tcPr>
            <w:cnfStyle w:val="001000000000" w:firstRow="0" w:lastRow="0" w:firstColumn="1" w:lastColumn="0" w:oddVBand="0" w:evenVBand="0" w:oddHBand="0" w:evenHBand="0" w:firstRowFirstColumn="0" w:firstRowLastColumn="0" w:lastRowFirstColumn="0" w:lastRowLastColumn="0"/>
            <w:tcW w:w="1413" w:type="dxa"/>
          </w:tcPr>
          <w:p w14:paraId="2F6B1DB0" w14:textId="77777777" w:rsidR="005132C8" w:rsidRPr="005132C8" w:rsidRDefault="005132C8" w:rsidP="005132C8">
            <w:pPr>
              <w:rPr>
                <w:rFonts w:asciiTheme="minorHAnsi" w:hAnsiTheme="minorHAnsi" w:cstheme="minorHAnsi"/>
                <w:i/>
              </w:rPr>
            </w:pPr>
            <w:r w:rsidRPr="005132C8">
              <w:rPr>
                <w:rFonts w:asciiTheme="minorHAnsi" w:hAnsiTheme="minorHAnsi" w:cstheme="minorHAnsi"/>
              </w:rPr>
              <w:t xml:space="preserve">Facilitator: </w:t>
            </w:r>
          </w:p>
        </w:tc>
        <w:tc>
          <w:tcPr>
            <w:tcW w:w="7937" w:type="dxa"/>
          </w:tcPr>
          <w:p w14:paraId="21C1C9ED" w14:textId="77777777" w:rsidR="005132C8" w:rsidRPr="00C86284" w:rsidRDefault="005132C8" w:rsidP="005132C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132C8" w:rsidRPr="005132C8" w14:paraId="57F86501" w14:textId="226C426C" w:rsidTr="005132C8">
        <w:trPr>
          <w:trHeight w:val="340"/>
        </w:trPr>
        <w:tc>
          <w:tcPr>
            <w:cnfStyle w:val="001000000000" w:firstRow="0" w:lastRow="0" w:firstColumn="1" w:lastColumn="0" w:oddVBand="0" w:evenVBand="0" w:oddHBand="0" w:evenHBand="0" w:firstRowFirstColumn="0" w:firstRowLastColumn="0" w:lastRowFirstColumn="0" w:lastRowLastColumn="0"/>
            <w:tcW w:w="1413" w:type="dxa"/>
          </w:tcPr>
          <w:p w14:paraId="3B3E16AB" w14:textId="77777777" w:rsidR="005132C8" w:rsidRPr="005132C8" w:rsidRDefault="005132C8" w:rsidP="005132C8">
            <w:pPr>
              <w:rPr>
                <w:rFonts w:asciiTheme="minorHAnsi" w:hAnsiTheme="minorHAnsi" w:cstheme="minorHAnsi"/>
              </w:rPr>
            </w:pPr>
            <w:r w:rsidRPr="005132C8">
              <w:rPr>
                <w:rFonts w:asciiTheme="minorHAnsi" w:hAnsiTheme="minorHAnsi" w:cstheme="minorHAnsi"/>
              </w:rPr>
              <w:t xml:space="preserve">Time: </w:t>
            </w:r>
          </w:p>
        </w:tc>
        <w:tc>
          <w:tcPr>
            <w:tcW w:w="7937" w:type="dxa"/>
          </w:tcPr>
          <w:p w14:paraId="2E3CDAFD" w14:textId="6FC9DBCF" w:rsidR="005132C8" w:rsidRPr="00C86284" w:rsidRDefault="00EF4550" w:rsidP="005132C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 hours</w:t>
            </w:r>
          </w:p>
        </w:tc>
      </w:tr>
      <w:tr w:rsidR="005132C8" w:rsidRPr="005132C8" w14:paraId="6A5C8AB9" w14:textId="77777777" w:rsidTr="005132C8">
        <w:trPr>
          <w:trHeight w:val="340"/>
        </w:trPr>
        <w:tc>
          <w:tcPr>
            <w:cnfStyle w:val="001000000000" w:firstRow="0" w:lastRow="0" w:firstColumn="1" w:lastColumn="0" w:oddVBand="0" w:evenVBand="0" w:oddHBand="0" w:evenHBand="0" w:firstRowFirstColumn="0" w:firstRowLastColumn="0" w:lastRowFirstColumn="0" w:lastRowLastColumn="0"/>
            <w:tcW w:w="1413" w:type="dxa"/>
          </w:tcPr>
          <w:p w14:paraId="55A92B3C" w14:textId="33982787" w:rsidR="005132C8" w:rsidRPr="005132C8" w:rsidRDefault="005132C8" w:rsidP="005132C8">
            <w:pPr>
              <w:rPr>
                <w:rFonts w:asciiTheme="minorHAnsi" w:hAnsiTheme="minorHAnsi" w:cstheme="minorHAnsi"/>
              </w:rPr>
            </w:pPr>
            <w:r w:rsidRPr="005132C8">
              <w:rPr>
                <w:rFonts w:asciiTheme="minorHAnsi" w:hAnsiTheme="minorHAnsi" w:cstheme="minorHAnsi"/>
              </w:rPr>
              <w:t>Date:</w:t>
            </w:r>
          </w:p>
        </w:tc>
        <w:tc>
          <w:tcPr>
            <w:tcW w:w="7937" w:type="dxa"/>
          </w:tcPr>
          <w:p w14:paraId="55EC6E9E" w14:textId="77777777" w:rsidR="005132C8" w:rsidRPr="00C86284" w:rsidRDefault="005132C8" w:rsidP="005132C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132C8" w:rsidRPr="005132C8" w14:paraId="081C3BC7" w14:textId="77777777" w:rsidTr="005132C8">
        <w:trPr>
          <w:trHeight w:val="340"/>
        </w:trPr>
        <w:tc>
          <w:tcPr>
            <w:cnfStyle w:val="001000000000" w:firstRow="0" w:lastRow="0" w:firstColumn="1" w:lastColumn="0" w:oddVBand="0" w:evenVBand="0" w:oddHBand="0" w:evenHBand="0" w:firstRowFirstColumn="0" w:firstRowLastColumn="0" w:lastRowFirstColumn="0" w:lastRowLastColumn="0"/>
            <w:tcW w:w="1413" w:type="dxa"/>
          </w:tcPr>
          <w:p w14:paraId="32CDD661" w14:textId="63FE14DD" w:rsidR="005132C8" w:rsidRPr="005132C8" w:rsidRDefault="005132C8" w:rsidP="005132C8">
            <w:pPr>
              <w:rPr>
                <w:rFonts w:asciiTheme="minorHAnsi" w:hAnsiTheme="minorHAnsi" w:cstheme="minorHAnsi"/>
              </w:rPr>
            </w:pPr>
            <w:r w:rsidRPr="005132C8">
              <w:rPr>
                <w:rFonts w:asciiTheme="minorHAnsi" w:hAnsiTheme="minorHAnsi" w:cstheme="minorHAnsi"/>
              </w:rPr>
              <w:t>Location:</w:t>
            </w:r>
          </w:p>
        </w:tc>
        <w:tc>
          <w:tcPr>
            <w:tcW w:w="7937" w:type="dxa"/>
          </w:tcPr>
          <w:p w14:paraId="1DA61910" w14:textId="77777777" w:rsidR="005132C8" w:rsidRPr="00C86284" w:rsidRDefault="005132C8" w:rsidP="005132C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132C8" w:rsidRPr="005132C8" w14:paraId="2B6EB4B0" w14:textId="6FA9E6C3" w:rsidTr="005132C8">
        <w:trPr>
          <w:trHeight w:val="340"/>
        </w:trPr>
        <w:tc>
          <w:tcPr>
            <w:cnfStyle w:val="001000000000" w:firstRow="0" w:lastRow="0" w:firstColumn="1" w:lastColumn="0" w:oddVBand="0" w:evenVBand="0" w:oddHBand="0" w:evenHBand="0" w:firstRowFirstColumn="0" w:firstRowLastColumn="0" w:lastRowFirstColumn="0" w:lastRowLastColumn="0"/>
            <w:tcW w:w="1413" w:type="dxa"/>
          </w:tcPr>
          <w:p w14:paraId="6F47AAC2" w14:textId="77777777" w:rsidR="005132C8" w:rsidRPr="005132C8" w:rsidRDefault="005132C8" w:rsidP="005132C8">
            <w:pPr>
              <w:rPr>
                <w:rFonts w:asciiTheme="minorHAnsi" w:hAnsiTheme="minorHAnsi" w:cstheme="minorHAnsi"/>
              </w:rPr>
            </w:pPr>
            <w:r w:rsidRPr="005132C8">
              <w:rPr>
                <w:rFonts w:asciiTheme="minorHAnsi" w:hAnsiTheme="minorHAnsi" w:cstheme="minorHAnsi"/>
              </w:rPr>
              <w:t xml:space="preserve">Objective: </w:t>
            </w:r>
          </w:p>
        </w:tc>
        <w:tc>
          <w:tcPr>
            <w:tcW w:w="7937" w:type="dxa"/>
          </w:tcPr>
          <w:p w14:paraId="6406B249" w14:textId="76D404E3" w:rsidR="00BD3A9F" w:rsidRPr="00BD3A9F" w:rsidRDefault="005A0792" w:rsidP="00BD3A9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w:t>
            </w:r>
            <w:r w:rsidRPr="001005BD">
              <w:t xml:space="preserve">xplore </w:t>
            </w:r>
            <w:r>
              <w:t xml:space="preserve">ways </w:t>
            </w:r>
            <w:r w:rsidRPr="001005BD">
              <w:t xml:space="preserve">to increase capacity for health equity action </w:t>
            </w:r>
            <w:r>
              <w:t xml:space="preserve">by frontline </w:t>
            </w:r>
            <w:r w:rsidR="00CD1977">
              <w:t>EPHP</w:t>
            </w:r>
            <w:r>
              <w:t xml:space="preserve">s and management/leadership </w:t>
            </w:r>
            <w:r w:rsidRPr="001005BD">
              <w:t>in your department or organization.</w:t>
            </w:r>
          </w:p>
        </w:tc>
      </w:tr>
    </w:tbl>
    <w:p w14:paraId="10943400" w14:textId="61E65E3E" w:rsidR="005132C8" w:rsidRDefault="005132C8" w:rsidP="005132C8">
      <w:pPr>
        <w:rPr>
          <w:rFonts w:asciiTheme="minorHAnsi" w:hAnsiTheme="minorHAnsi" w:cstheme="minorHAnsi"/>
        </w:rPr>
      </w:pPr>
    </w:p>
    <w:p w14:paraId="27B935F8" w14:textId="386F2F92" w:rsidR="00BD3A9F" w:rsidRPr="003D35B3" w:rsidRDefault="00BD3A9F" w:rsidP="003D35B3">
      <w:pPr>
        <w:pStyle w:val="ListParagraph"/>
        <w:numPr>
          <w:ilvl w:val="0"/>
          <w:numId w:val="2"/>
        </w:numPr>
        <w:ind w:left="426"/>
      </w:pPr>
      <w:r w:rsidRPr="003D35B3">
        <w:t>This session builds on information provided in the</w:t>
      </w:r>
      <w:r w:rsidRPr="003D35B3">
        <w:rPr>
          <w:i/>
        </w:rPr>
        <w:t xml:space="preserve"> </w:t>
      </w:r>
      <w:hyperlink r:id="rId7" w:history="1">
        <w:r w:rsidRPr="00BA62DA">
          <w:rPr>
            <w:rStyle w:val="Hyperlink"/>
            <w:i/>
          </w:rPr>
          <w:t xml:space="preserve">Introduction to Health Equity for </w:t>
        </w:r>
        <w:r w:rsidR="00CD1977" w:rsidRPr="00BA62DA">
          <w:rPr>
            <w:rStyle w:val="Hyperlink"/>
            <w:i/>
          </w:rPr>
          <w:t>EPHP</w:t>
        </w:r>
        <w:r w:rsidRPr="00BA62DA">
          <w:rPr>
            <w:rStyle w:val="Hyperlink"/>
            <w:i/>
          </w:rPr>
          <w:t xml:space="preserve">s </w:t>
        </w:r>
        <w:r w:rsidR="00290795" w:rsidRPr="00BA62DA">
          <w:rPr>
            <w:rStyle w:val="Hyperlink"/>
          </w:rPr>
          <w:t>session</w:t>
        </w:r>
      </w:hyperlink>
      <w:r w:rsidRPr="003D35B3">
        <w:t>.</w:t>
      </w:r>
    </w:p>
    <w:p w14:paraId="6D191600" w14:textId="6B71AA7D" w:rsidR="003D35B3" w:rsidRPr="003D35B3" w:rsidRDefault="003D35B3" w:rsidP="003D35B3">
      <w:pPr>
        <w:pStyle w:val="ListParagraph"/>
        <w:numPr>
          <w:ilvl w:val="0"/>
          <w:numId w:val="2"/>
        </w:numPr>
        <w:ind w:left="426"/>
      </w:pPr>
      <w:r w:rsidRPr="003D35B3">
        <w:t xml:space="preserve">It is recommended that participants have either participated in the </w:t>
      </w:r>
      <w:hyperlink r:id="rId8" w:history="1">
        <w:r w:rsidRPr="00BA62DA">
          <w:rPr>
            <w:rStyle w:val="Hyperlink"/>
            <w:i/>
          </w:rPr>
          <w:t>Health Equity Tools</w:t>
        </w:r>
        <w:r w:rsidRPr="00BA62DA">
          <w:rPr>
            <w:rStyle w:val="Hyperlink"/>
          </w:rPr>
          <w:t xml:space="preserve"> workshop</w:t>
        </w:r>
      </w:hyperlink>
      <w:r w:rsidRPr="003D35B3">
        <w:t xml:space="preserve"> or have reviewed the tools available online at</w:t>
      </w:r>
      <w:r w:rsidR="0061018B" w:rsidRPr="0061018B">
        <w:t xml:space="preserve"> </w:t>
      </w:r>
      <w:hyperlink r:id="rId9" w:history="1">
        <w:r w:rsidR="0061018B" w:rsidRPr="004D0BC4">
          <w:rPr>
            <w:rStyle w:val="Hyperlink"/>
          </w:rPr>
          <w:t>http://www.bccdc.ca/health-professionals/professional-resources/health-equity-environmental-health</w:t>
        </w:r>
      </w:hyperlink>
      <w:r w:rsidRPr="003D35B3">
        <w:t>.</w:t>
      </w:r>
      <w:r w:rsidR="0061018B">
        <w:t xml:space="preserve"> </w:t>
      </w:r>
      <w:r w:rsidRPr="003D35B3">
        <w:t xml:space="preserve"> </w:t>
      </w:r>
      <w:bookmarkStart w:id="0" w:name="_GoBack"/>
      <w:bookmarkEnd w:id="0"/>
    </w:p>
    <w:p w14:paraId="7E1932A7" w14:textId="77777777" w:rsidR="00BD3A9F" w:rsidRPr="00A24733" w:rsidRDefault="00BD3A9F" w:rsidP="005132C8">
      <w:pPr>
        <w:rPr>
          <w:rFonts w:asciiTheme="minorHAnsi" w:hAnsiTheme="minorHAnsi" w:cstheme="minorHAnsi"/>
          <w:b/>
        </w:rPr>
      </w:pPr>
    </w:p>
    <w:tbl>
      <w:tblPr>
        <w:tblStyle w:val="GridTable6Colorful-Accent5"/>
        <w:tblW w:w="0" w:type="auto"/>
        <w:tblLook w:val="0620" w:firstRow="1" w:lastRow="0" w:firstColumn="0" w:lastColumn="0" w:noHBand="1" w:noVBand="1"/>
      </w:tblPr>
      <w:tblGrid>
        <w:gridCol w:w="665"/>
        <w:gridCol w:w="934"/>
        <w:gridCol w:w="2193"/>
        <w:gridCol w:w="4534"/>
        <w:gridCol w:w="1024"/>
      </w:tblGrid>
      <w:tr w:rsidR="005954B5" w:rsidRPr="00A24733" w14:paraId="0F1E5C67" w14:textId="77777777" w:rsidTr="00F66742">
        <w:trPr>
          <w:cnfStyle w:val="100000000000" w:firstRow="1" w:lastRow="0" w:firstColumn="0" w:lastColumn="0" w:oddVBand="0" w:evenVBand="0" w:oddHBand="0" w:evenHBand="0" w:firstRowFirstColumn="0" w:firstRowLastColumn="0" w:lastRowFirstColumn="0" w:lastRowLastColumn="0"/>
        </w:trPr>
        <w:tc>
          <w:tcPr>
            <w:tcW w:w="0" w:type="auto"/>
            <w:shd w:val="clear" w:color="auto" w:fill="DEEAF6" w:themeFill="accent5" w:themeFillTint="33"/>
          </w:tcPr>
          <w:p w14:paraId="0F0E7277" w14:textId="2A462FE1" w:rsidR="005132C8" w:rsidRPr="005954B5" w:rsidRDefault="005954B5" w:rsidP="004A3E2A">
            <w:pPr>
              <w:rPr>
                <w:rFonts w:asciiTheme="minorHAnsi" w:hAnsiTheme="minorHAnsi" w:cstheme="minorHAnsi"/>
                <w:sz w:val="20"/>
              </w:rPr>
            </w:pPr>
            <w:r w:rsidRPr="005954B5">
              <w:rPr>
                <w:rFonts w:asciiTheme="minorHAnsi" w:hAnsiTheme="minorHAnsi" w:cstheme="minorHAnsi"/>
                <w:sz w:val="20"/>
              </w:rPr>
              <w:t>Start t</w:t>
            </w:r>
            <w:r w:rsidR="005132C8" w:rsidRPr="005954B5">
              <w:rPr>
                <w:rFonts w:asciiTheme="minorHAnsi" w:hAnsiTheme="minorHAnsi" w:cstheme="minorHAnsi"/>
                <w:sz w:val="20"/>
              </w:rPr>
              <w:t>ime</w:t>
            </w:r>
          </w:p>
        </w:tc>
        <w:tc>
          <w:tcPr>
            <w:tcW w:w="0" w:type="auto"/>
            <w:shd w:val="clear" w:color="auto" w:fill="DEEAF6" w:themeFill="accent5" w:themeFillTint="33"/>
          </w:tcPr>
          <w:p w14:paraId="3849FE79" w14:textId="77777777" w:rsidR="005132C8" w:rsidRPr="005954B5" w:rsidRDefault="005132C8" w:rsidP="004A3E2A">
            <w:pPr>
              <w:rPr>
                <w:rFonts w:asciiTheme="minorHAnsi" w:hAnsiTheme="minorHAnsi" w:cstheme="minorHAnsi"/>
                <w:sz w:val="20"/>
              </w:rPr>
            </w:pPr>
            <w:r w:rsidRPr="005954B5">
              <w:rPr>
                <w:rFonts w:asciiTheme="minorHAnsi" w:hAnsiTheme="minorHAnsi" w:cstheme="minorHAnsi"/>
                <w:sz w:val="20"/>
              </w:rPr>
              <w:t>Allotted time</w:t>
            </w:r>
          </w:p>
        </w:tc>
        <w:tc>
          <w:tcPr>
            <w:tcW w:w="0" w:type="auto"/>
            <w:shd w:val="clear" w:color="auto" w:fill="DEEAF6" w:themeFill="accent5" w:themeFillTint="33"/>
          </w:tcPr>
          <w:p w14:paraId="09B42720" w14:textId="3DDB8AD0" w:rsidR="005132C8" w:rsidRPr="002C1BD8" w:rsidRDefault="005954B5" w:rsidP="004A3E2A">
            <w:pPr>
              <w:rPr>
                <w:rFonts w:asciiTheme="minorHAnsi" w:hAnsiTheme="minorHAnsi" w:cstheme="minorHAnsi"/>
                <w:sz w:val="20"/>
              </w:rPr>
            </w:pPr>
            <w:r w:rsidRPr="002C1BD8">
              <w:rPr>
                <w:rFonts w:asciiTheme="minorHAnsi" w:hAnsiTheme="minorHAnsi" w:cstheme="minorHAnsi"/>
                <w:sz w:val="20"/>
              </w:rPr>
              <w:t>Section title</w:t>
            </w:r>
          </w:p>
        </w:tc>
        <w:tc>
          <w:tcPr>
            <w:tcW w:w="0" w:type="auto"/>
            <w:shd w:val="clear" w:color="auto" w:fill="DEEAF6" w:themeFill="accent5" w:themeFillTint="33"/>
          </w:tcPr>
          <w:p w14:paraId="5F4DAED2" w14:textId="0547ED7A" w:rsidR="005132C8" w:rsidRPr="005954B5" w:rsidRDefault="005132C8" w:rsidP="004A3E2A">
            <w:pPr>
              <w:rPr>
                <w:rFonts w:asciiTheme="minorHAnsi" w:hAnsiTheme="minorHAnsi" w:cstheme="minorHAnsi"/>
                <w:sz w:val="20"/>
              </w:rPr>
            </w:pPr>
            <w:r w:rsidRPr="005954B5">
              <w:rPr>
                <w:rFonts w:asciiTheme="minorHAnsi" w:hAnsiTheme="minorHAnsi" w:cstheme="minorHAnsi"/>
                <w:sz w:val="20"/>
              </w:rPr>
              <w:t>Description</w:t>
            </w:r>
            <w:r w:rsidR="005954B5" w:rsidRPr="005954B5">
              <w:rPr>
                <w:rFonts w:asciiTheme="minorHAnsi" w:hAnsiTheme="minorHAnsi" w:cstheme="minorHAnsi"/>
                <w:sz w:val="20"/>
              </w:rPr>
              <w:t>/Objective</w:t>
            </w:r>
          </w:p>
        </w:tc>
        <w:tc>
          <w:tcPr>
            <w:tcW w:w="0" w:type="auto"/>
            <w:shd w:val="clear" w:color="auto" w:fill="DEEAF6" w:themeFill="accent5" w:themeFillTint="33"/>
          </w:tcPr>
          <w:p w14:paraId="423890F8" w14:textId="77777777" w:rsidR="005132C8" w:rsidRPr="005954B5" w:rsidRDefault="005132C8" w:rsidP="004A3E2A">
            <w:pPr>
              <w:rPr>
                <w:rFonts w:asciiTheme="minorHAnsi" w:hAnsiTheme="minorHAnsi" w:cstheme="minorHAnsi"/>
                <w:sz w:val="20"/>
              </w:rPr>
            </w:pPr>
            <w:r w:rsidRPr="005954B5">
              <w:rPr>
                <w:rFonts w:asciiTheme="minorHAnsi" w:hAnsiTheme="minorHAnsi" w:cstheme="minorHAnsi"/>
                <w:sz w:val="20"/>
              </w:rPr>
              <w:t>Presenter</w:t>
            </w:r>
          </w:p>
        </w:tc>
      </w:tr>
      <w:tr w:rsidR="006243AD" w:rsidRPr="00A24733" w14:paraId="2D4F3C1E" w14:textId="77777777" w:rsidTr="00F66742">
        <w:trPr>
          <w:trHeight w:val="737"/>
        </w:trPr>
        <w:tc>
          <w:tcPr>
            <w:tcW w:w="0" w:type="auto"/>
          </w:tcPr>
          <w:p w14:paraId="1ACB9AE3" w14:textId="64C2A07B" w:rsidR="005132C8" w:rsidRPr="002C1BD8" w:rsidRDefault="005132C8" w:rsidP="004A3E2A">
            <w:pPr>
              <w:rPr>
                <w:rFonts w:asciiTheme="minorHAnsi" w:hAnsiTheme="minorHAnsi" w:cstheme="minorHAnsi"/>
                <w:sz w:val="20"/>
              </w:rPr>
            </w:pPr>
          </w:p>
        </w:tc>
        <w:tc>
          <w:tcPr>
            <w:tcW w:w="0" w:type="auto"/>
          </w:tcPr>
          <w:p w14:paraId="1001A42D" w14:textId="7BF7534E" w:rsidR="005132C8" w:rsidRPr="002C1BD8" w:rsidRDefault="003260A7" w:rsidP="004A3E2A">
            <w:pPr>
              <w:rPr>
                <w:rFonts w:asciiTheme="minorHAnsi" w:hAnsiTheme="minorHAnsi" w:cstheme="minorHAnsi"/>
                <w:sz w:val="20"/>
              </w:rPr>
            </w:pPr>
            <w:r>
              <w:rPr>
                <w:rFonts w:asciiTheme="minorHAnsi" w:hAnsiTheme="minorHAnsi" w:cstheme="minorHAnsi"/>
                <w:sz w:val="20"/>
              </w:rPr>
              <w:t>2</w:t>
            </w:r>
            <w:r w:rsidR="005954B5" w:rsidRPr="002C1BD8">
              <w:rPr>
                <w:rFonts w:asciiTheme="minorHAnsi" w:hAnsiTheme="minorHAnsi" w:cstheme="minorHAnsi"/>
                <w:sz w:val="20"/>
              </w:rPr>
              <w:t xml:space="preserve"> min</w:t>
            </w:r>
          </w:p>
        </w:tc>
        <w:tc>
          <w:tcPr>
            <w:tcW w:w="0" w:type="auto"/>
          </w:tcPr>
          <w:p w14:paraId="2A03FE2F" w14:textId="3761ABDA" w:rsidR="005132C8" w:rsidRPr="002C1BD8" w:rsidRDefault="005954B5" w:rsidP="004A3E2A">
            <w:pPr>
              <w:rPr>
                <w:rFonts w:asciiTheme="minorHAnsi" w:hAnsiTheme="minorHAnsi" w:cstheme="minorHAnsi"/>
                <w:b/>
                <w:sz w:val="20"/>
              </w:rPr>
            </w:pPr>
            <w:r w:rsidRPr="002C1BD8">
              <w:rPr>
                <w:rFonts w:asciiTheme="minorHAnsi" w:hAnsiTheme="minorHAnsi" w:cstheme="minorHAnsi"/>
                <w:b/>
                <w:sz w:val="20"/>
              </w:rPr>
              <w:t>Introduction</w:t>
            </w:r>
          </w:p>
        </w:tc>
        <w:tc>
          <w:tcPr>
            <w:tcW w:w="0" w:type="auto"/>
          </w:tcPr>
          <w:p w14:paraId="763B0E83" w14:textId="307D6DC6" w:rsidR="005132C8" w:rsidRPr="002C1BD8" w:rsidRDefault="005954B5" w:rsidP="004A3E2A">
            <w:pPr>
              <w:rPr>
                <w:rFonts w:asciiTheme="minorHAnsi" w:hAnsiTheme="minorHAnsi" w:cstheme="minorHAnsi"/>
                <w:sz w:val="20"/>
              </w:rPr>
            </w:pPr>
            <w:r w:rsidRPr="002C1BD8">
              <w:rPr>
                <w:rFonts w:asciiTheme="minorHAnsi" w:hAnsiTheme="minorHAnsi" w:cstheme="minorHAnsi"/>
                <w:sz w:val="20"/>
              </w:rPr>
              <w:t>Introduce topic</w:t>
            </w:r>
            <w:r w:rsidR="002C1BD8">
              <w:rPr>
                <w:rFonts w:asciiTheme="minorHAnsi" w:hAnsiTheme="minorHAnsi" w:cstheme="minorHAnsi"/>
                <w:sz w:val="20"/>
              </w:rPr>
              <w:t xml:space="preserve">, presenter, </w:t>
            </w:r>
            <w:r w:rsidRPr="002C1BD8">
              <w:rPr>
                <w:rFonts w:asciiTheme="minorHAnsi" w:hAnsiTheme="minorHAnsi" w:cstheme="minorHAnsi"/>
                <w:sz w:val="20"/>
              </w:rPr>
              <w:t>outline for session</w:t>
            </w:r>
            <w:r w:rsidR="002C1BD8">
              <w:rPr>
                <w:rFonts w:asciiTheme="minorHAnsi" w:hAnsiTheme="minorHAnsi" w:cstheme="minorHAnsi"/>
                <w:sz w:val="20"/>
              </w:rPr>
              <w:t>, and any housekeeping points</w:t>
            </w:r>
            <w:r w:rsidR="00EF4550">
              <w:rPr>
                <w:rFonts w:asciiTheme="minorHAnsi" w:hAnsiTheme="minorHAnsi" w:cstheme="minorHAnsi"/>
                <w:sz w:val="20"/>
              </w:rPr>
              <w:t>.</w:t>
            </w:r>
          </w:p>
        </w:tc>
        <w:tc>
          <w:tcPr>
            <w:tcW w:w="0" w:type="auto"/>
          </w:tcPr>
          <w:p w14:paraId="52A8B5B1" w14:textId="2A6919D7" w:rsidR="005132C8" w:rsidRPr="002C1BD8" w:rsidRDefault="005132C8" w:rsidP="004A3E2A">
            <w:pPr>
              <w:rPr>
                <w:rFonts w:asciiTheme="minorHAnsi" w:hAnsiTheme="minorHAnsi" w:cstheme="minorHAnsi"/>
                <w:sz w:val="20"/>
              </w:rPr>
            </w:pPr>
          </w:p>
        </w:tc>
      </w:tr>
      <w:tr w:rsidR="006243AD" w:rsidRPr="00A24733" w14:paraId="60B32DAD" w14:textId="77777777" w:rsidTr="00F66742">
        <w:trPr>
          <w:trHeight w:val="737"/>
        </w:trPr>
        <w:tc>
          <w:tcPr>
            <w:tcW w:w="0" w:type="auto"/>
          </w:tcPr>
          <w:p w14:paraId="53C20531" w14:textId="19936F92" w:rsidR="005132C8" w:rsidRPr="00EF4550" w:rsidRDefault="005132C8" w:rsidP="004A3E2A">
            <w:pPr>
              <w:rPr>
                <w:rFonts w:asciiTheme="minorHAnsi" w:hAnsiTheme="minorHAnsi" w:cstheme="minorHAnsi"/>
                <w:sz w:val="20"/>
              </w:rPr>
            </w:pPr>
          </w:p>
        </w:tc>
        <w:tc>
          <w:tcPr>
            <w:tcW w:w="0" w:type="auto"/>
          </w:tcPr>
          <w:p w14:paraId="554E0EC7" w14:textId="04C5058A" w:rsidR="005132C8" w:rsidRPr="00EF4550" w:rsidRDefault="00EF4550" w:rsidP="004A3E2A">
            <w:pPr>
              <w:rPr>
                <w:rFonts w:asciiTheme="minorHAnsi" w:hAnsiTheme="minorHAnsi" w:cstheme="minorHAnsi"/>
                <w:sz w:val="20"/>
              </w:rPr>
            </w:pPr>
            <w:r w:rsidRPr="00EF4550">
              <w:rPr>
                <w:rFonts w:asciiTheme="minorHAnsi" w:hAnsiTheme="minorHAnsi" w:cstheme="minorHAnsi"/>
                <w:sz w:val="20"/>
              </w:rPr>
              <w:t>2</w:t>
            </w:r>
            <w:r w:rsidR="003260A7" w:rsidRPr="00EF4550">
              <w:rPr>
                <w:rFonts w:asciiTheme="minorHAnsi" w:hAnsiTheme="minorHAnsi" w:cstheme="minorHAnsi"/>
                <w:sz w:val="20"/>
              </w:rPr>
              <w:t xml:space="preserve"> min</w:t>
            </w:r>
          </w:p>
        </w:tc>
        <w:tc>
          <w:tcPr>
            <w:tcW w:w="0" w:type="auto"/>
          </w:tcPr>
          <w:p w14:paraId="2E99CA4D" w14:textId="4F71F3D9" w:rsidR="005132C8" w:rsidRPr="00EF4550" w:rsidRDefault="00EF4550" w:rsidP="004A3E2A">
            <w:pPr>
              <w:rPr>
                <w:rFonts w:asciiTheme="minorHAnsi" w:hAnsiTheme="minorHAnsi" w:cstheme="minorHAnsi"/>
                <w:b/>
                <w:sz w:val="20"/>
              </w:rPr>
            </w:pPr>
            <w:r w:rsidRPr="00EF4550">
              <w:rPr>
                <w:rFonts w:asciiTheme="minorHAnsi" w:hAnsiTheme="minorHAnsi" w:cstheme="minorHAnsi"/>
                <w:b/>
                <w:sz w:val="20"/>
              </w:rPr>
              <w:t>Review of</w:t>
            </w:r>
            <w:r w:rsidR="00FB47E1" w:rsidRPr="00EF4550">
              <w:rPr>
                <w:rFonts w:asciiTheme="minorHAnsi" w:hAnsiTheme="minorHAnsi" w:cstheme="minorHAnsi"/>
                <w:b/>
                <w:sz w:val="20"/>
              </w:rPr>
              <w:t xml:space="preserve"> health equity and the social determinants of health</w:t>
            </w:r>
            <w:r w:rsidRPr="00EF4550">
              <w:rPr>
                <w:rFonts w:asciiTheme="minorHAnsi" w:hAnsiTheme="minorHAnsi" w:cstheme="minorHAnsi"/>
                <w:b/>
                <w:sz w:val="20"/>
              </w:rPr>
              <w:t xml:space="preserve"> in environmental public health practice</w:t>
            </w:r>
          </w:p>
        </w:tc>
        <w:tc>
          <w:tcPr>
            <w:tcW w:w="0" w:type="auto"/>
          </w:tcPr>
          <w:p w14:paraId="5CF2B5ED" w14:textId="649C1414" w:rsidR="005132C8" w:rsidRPr="00EF4550" w:rsidRDefault="00EF4550" w:rsidP="004A3E2A">
            <w:pPr>
              <w:rPr>
                <w:rFonts w:asciiTheme="minorHAnsi" w:hAnsiTheme="minorHAnsi" w:cstheme="minorHAnsi"/>
                <w:sz w:val="20"/>
              </w:rPr>
            </w:pPr>
            <w:r w:rsidRPr="00EF4550">
              <w:rPr>
                <w:rFonts w:asciiTheme="minorHAnsi" w:hAnsiTheme="minorHAnsi" w:cstheme="minorHAnsi"/>
                <w:sz w:val="20"/>
              </w:rPr>
              <w:t>Review</w:t>
            </w:r>
            <w:r w:rsidR="00487AC3" w:rsidRPr="00EF4550">
              <w:rPr>
                <w:rFonts w:asciiTheme="minorHAnsi" w:hAnsiTheme="minorHAnsi" w:cstheme="minorHAnsi"/>
                <w:sz w:val="20"/>
              </w:rPr>
              <w:t xml:space="preserve"> of key concepts </w:t>
            </w:r>
            <w:r w:rsidRPr="00EF4550">
              <w:rPr>
                <w:rFonts w:asciiTheme="minorHAnsi" w:hAnsiTheme="minorHAnsi" w:cstheme="minorHAnsi"/>
                <w:sz w:val="20"/>
              </w:rPr>
              <w:t>and how equity issues relate to practice</w:t>
            </w:r>
            <w:r w:rsidR="00487AC3" w:rsidRPr="00EF4550">
              <w:rPr>
                <w:rFonts w:asciiTheme="minorHAnsi" w:hAnsiTheme="minorHAnsi" w:cstheme="minorHAnsi"/>
                <w:sz w:val="20"/>
              </w:rPr>
              <w:t>.</w:t>
            </w:r>
          </w:p>
        </w:tc>
        <w:tc>
          <w:tcPr>
            <w:tcW w:w="0" w:type="auto"/>
          </w:tcPr>
          <w:p w14:paraId="605CBC5D" w14:textId="77777777" w:rsidR="005132C8" w:rsidRPr="00EF4550" w:rsidRDefault="005132C8" w:rsidP="004A3E2A">
            <w:pPr>
              <w:rPr>
                <w:rFonts w:asciiTheme="minorHAnsi" w:hAnsiTheme="minorHAnsi" w:cstheme="minorHAnsi"/>
                <w:sz w:val="20"/>
              </w:rPr>
            </w:pPr>
          </w:p>
        </w:tc>
      </w:tr>
      <w:tr w:rsidR="006243AD" w:rsidRPr="00A24733" w14:paraId="2FC9A2D0" w14:textId="77777777" w:rsidTr="00F66742">
        <w:trPr>
          <w:trHeight w:val="737"/>
        </w:trPr>
        <w:tc>
          <w:tcPr>
            <w:tcW w:w="0" w:type="auto"/>
          </w:tcPr>
          <w:p w14:paraId="00C3E1A2" w14:textId="77777777" w:rsidR="006243AD" w:rsidRPr="00EF4550" w:rsidRDefault="006243AD" w:rsidP="006243AD">
            <w:pPr>
              <w:rPr>
                <w:rFonts w:asciiTheme="minorHAnsi" w:hAnsiTheme="minorHAnsi" w:cstheme="minorHAnsi"/>
                <w:sz w:val="20"/>
              </w:rPr>
            </w:pPr>
          </w:p>
        </w:tc>
        <w:tc>
          <w:tcPr>
            <w:tcW w:w="0" w:type="auto"/>
          </w:tcPr>
          <w:p w14:paraId="75B3C569" w14:textId="3DCFD3A5" w:rsidR="006243AD" w:rsidRDefault="006243AD" w:rsidP="006243AD">
            <w:pPr>
              <w:rPr>
                <w:rFonts w:asciiTheme="minorHAnsi" w:hAnsiTheme="minorHAnsi" w:cstheme="minorHAnsi"/>
                <w:sz w:val="20"/>
              </w:rPr>
            </w:pPr>
            <w:r>
              <w:rPr>
                <w:rFonts w:asciiTheme="minorHAnsi" w:hAnsiTheme="minorHAnsi" w:cstheme="minorHAnsi"/>
                <w:sz w:val="20"/>
              </w:rPr>
              <w:t>1</w:t>
            </w:r>
            <w:r w:rsidR="00482B7B">
              <w:rPr>
                <w:rFonts w:asciiTheme="minorHAnsi" w:hAnsiTheme="minorHAnsi" w:cstheme="minorHAnsi"/>
                <w:sz w:val="20"/>
              </w:rPr>
              <w:t>5</w:t>
            </w:r>
            <w:r>
              <w:rPr>
                <w:rFonts w:asciiTheme="minorHAnsi" w:hAnsiTheme="minorHAnsi" w:cstheme="minorHAnsi"/>
                <w:sz w:val="20"/>
              </w:rPr>
              <w:t xml:space="preserve"> min</w:t>
            </w:r>
          </w:p>
        </w:tc>
        <w:tc>
          <w:tcPr>
            <w:tcW w:w="0" w:type="auto"/>
          </w:tcPr>
          <w:p w14:paraId="0CA94AE1" w14:textId="4B300250" w:rsidR="006243AD" w:rsidRDefault="003E138D" w:rsidP="006243AD">
            <w:pPr>
              <w:rPr>
                <w:rFonts w:asciiTheme="minorHAnsi" w:hAnsiTheme="minorHAnsi" w:cstheme="minorHAnsi"/>
                <w:b/>
                <w:sz w:val="20"/>
              </w:rPr>
            </w:pPr>
            <w:r>
              <w:rPr>
                <w:rFonts w:asciiTheme="minorHAnsi" w:hAnsiTheme="minorHAnsi" w:cstheme="minorHAnsi"/>
                <w:b/>
                <w:sz w:val="20"/>
              </w:rPr>
              <w:t>Capacity for health equity action in environmental public health organizations</w:t>
            </w:r>
          </w:p>
        </w:tc>
        <w:tc>
          <w:tcPr>
            <w:tcW w:w="0" w:type="auto"/>
          </w:tcPr>
          <w:p w14:paraId="55AA50CF" w14:textId="65602920" w:rsidR="006243AD" w:rsidRDefault="006243AD" w:rsidP="006243AD">
            <w:pPr>
              <w:rPr>
                <w:rFonts w:asciiTheme="minorHAnsi" w:hAnsiTheme="minorHAnsi" w:cstheme="minorHAnsi"/>
                <w:sz w:val="20"/>
              </w:rPr>
            </w:pPr>
            <w:r w:rsidRPr="006243AD">
              <w:rPr>
                <w:rFonts w:asciiTheme="minorHAnsi" w:hAnsiTheme="minorHAnsi" w:cstheme="minorHAnsi"/>
                <w:sz w:val="20"/>
              </w:rPr>
              <w:t>Illustrate how HE arises in EPH practice, how practitioners respond, and some of the current organizational challenges with advancing equity. Discussion of practical implications, including facilitators, barriers, and tools.</w:t>
            </w:r>
          </w:p>
        </w:tc>
        <w:tc>
          <w:tcPr>
            <w:tcW w:w="0" w:type="auto"/>
          </w:tcPr>
          <w:p w14:paraId="01EB0273" w14:textId="77777777" w:rsidR="006243AD" w:rsidRPr="00EF4550" w:rsidRDefault="006243AD" w:rsidP="006243AD">
            <w:pPr>
              <w:rPr>
                <w:rFonts w:asciiTheme="minorHAnsi" w:hAnsiTheme="minorHAnsi" w:cstheme="minorHAnsi"/>
                <w:sz w:val="20"/>
              </w:rPr>
            </w:pPr>
          </w:p>
        </w:tc>
      </w:tr>
      <w:tr w:rsidR="006243AD" w:rsidRPr="00A24733" w14:paraId="24BA0FE9" w14:textId="77777777" w:rsidTr="00F66742">
        <w:trPr>
          <w:trHeight w:val="737"/>
        </w:trPr>
        <w:tc>
          <w:tcPr>
            <w:tcW w:w="0" w:type="auto"/>
          </w:tcPr>
          <w:p w14:paraId="1B179C30" w14:textId="156608A3" w:rsidR="006243AD" w:rsidRPr="00EF4550" w:rsidRDefault="006243AD" w:rsidP="006243AD">
            <w:pPr>
              <w:rPr>
                <w:rFonts w:asciiTheme="minorHAnsi" w:hAnsiTheme="minorHAnsi" w:cstheme="minorHAnsi"/>
                <w:sz w:val="20"/>
              </w:rPr>
            </w:pPr>
          </w:p>
        </w:tc>
        <w:tc>
          <w:tcPr>
            <w:tcW w:w="0" w:type="auto"/>
          </w:tcPr>
          <w:p w14:paraId="00558BE3" w14:textId="0EAC77B6" w:rsidR="006243AD" w:rsidRPr="00EF4550" w:rsidRDefault="006243AD" w:rsidP="006243AD">
            <w:pPr>
              <w:rPr>
                <w:rFonts w:asciiTheme="minorHAnsi" w:hAnsiTheme="minorHAnsi" w:cstheme="minorHAnsi"/>
                <w:sz w:val="20"/>
              </w:rPr>
            </w:pPr>
            <w:r>
              <w:rPr>
                <w:rFonts w:asciiTheme="minorHAnsi" w:hAnsiTheme="minorHAnsi" w:cstheme="minorHAnsi"/>
                <w:sz w:val="20"/>
              </w:rPr>
              <w:t>5 min</w:t>
            </w:r>
          </w:p>
        </w:tc>
        <w:tc>
          <w:tcPr>
            <w:tcW w:w="0" w:type="auto"/>
          </w:tcPr>
          <w:p w14:paraId="6CE42DF2" w14:textId="7E33AD1C" w:rsidR="006243AD" w:rsidRPr="00EF4550" w:rsidRDefault="006243AD" w:rsidP="006243AD">
            <w:pPr>
              <w:rPr>
                <w:rFonts w:asciiTheme="minorHAnsi" w:hAnsiTheme="minorHAnsi" w:cstheme="minorHAnsi"/>
                <w:b/>
                <w:sz w:val="20"/>
              </w:rPr>
            </w:pPr>
            <w:r>
              <w:rPr>
                <w:rFonts w:asciiTheme="minorHAnsi" w:hAnsiTheme="minorHAnsi" w:cstheme="minorHAnsi"/>
                <w:b/>
                <w:sz w:val="20"/>
              </w:rPr>
              <w:t>Q&amp;A</w:t>
            </w:r>
          </w:p>
        </w:tc>
        <w:tc>
          <w:tcPr>
            <w:tcW w:w="0" w:type="auto"/>
          </w:tcPr>
          <w:p w14:paraId="18DCAA19" w14:textId="1F84FBCB" w:rsidR="006243AD" w:rsidRPr="00EF4550" w:rsidRDefault="006243AD" w:rsidP="006243AD">
            <w:pPr>
              <w:rPr>
                <w:rFonts w:asciiTheme="minorHAnsi" w:hAnsiTheme="minorHAnsi" w:cstheme="minorHAnsi"/>
                <w:sz w:val="20"/>
              </w:rPr>
            </w:pPr>
            <w:r>
              <w:rPr>
                <w:rFonts w:asciiTheme="minorHAnsi" w:hAnsiTheme="minorHAnsi" w:cstheme="minorHAnsi"/>
                <w:sz w:val="20"/>
              </w:rPr>
              <w:t>Brief opportunity for questions of clarification.</w:t>
            </w:r>
          </w:p>
        </w:tc>
        <w:tc>
          <w:tcPr>
            <w:tcW w:w="0" w:type="auto"/>
          </w:tcPr>
          <w:p w14:paraId="64762D70" w14:textId="3C59EC7A" w:rsidR="006243AD" w:rsidRPr="00EF4550" w:rsidRDefault="006243AD" w:rsidP="006243AD">
            <w:pPr>
              <w:rPr>
                <w:rFonts w:asciiTheme="minorHAnsi" w:hAnsiTheme="minorHAnsi" w:cstheme="minorHAnsi"/>
                <w:sz w:val="20"/>
              </w:rPr>
            </w:pPr>
          </w:p>
        </w:tc>
      </w:tr>
      <w:tr w:rsidR="006243AD" w:rsidRPr="00A24733" w14:paraId="6166584B" w14:textId="77777777" w:rsidTr="00F66742">
        <w:trPr>
          <w:trHeight w:val="737"/>
        </w:trPr>
        <w:tc>
          <w:tcPr>
            <w:tcW w:w="0" w:type="auto"/>
          </w:tcPr>
          <w:p w14:paraId="72173721" w14:textId="70BFC41B" w:rsidR="006243AD" w:rsidRPr="00EF4550" w:rsidRDefault="006243AD" w:rsidP="006243AD">
            <w:pPr>
              <w:rPr>
                <w:rFonts w:asciiTheme="minorHAnsi" w:hAnsiTheme="minorHAnsi" w:cstheme="minorHAnsi"/>
                <w:sz w:val="20"/>
              </w:rPr>
            </w:pPr>
          </w:p>
        </w:tc>
        <w:tc>
          <w:tcPr>
            <w:tcW w:w="0" w:type="auto"/>
          </w:tcPr>
          <w:p w14:paraId="7FAAD463" w14:textId="1AC376BF" w:rsidR="006243AD" w:rsidRPr="00EF4550" w:rsidRDefault="003E138D" w:rsidP="006243AD">
            <w:pPr>
              <w:rPr>
                <w:rFonts w:asciiTheme="minorHAnsi" w:hAnsiTheme="minorHAnsi" w:cstheme="minorHAnsi"/>
                <w:sz w:val="20"/>
              </w:rPr>
            </w:pPr>
            <w:r>
              <w:rPr>
                <w:rFonts w:asciiTheme="minorHAnsi" w:hAnsiTheme="minorHAnsi" w:cstheme="minorHAnsi"/>
                <w:sz w:val="20"/>
              </w:rPr>
              <w:t>10 min</w:t>
            </w:r>
          </w:p>
        </w:tc>
        <w:tc>
          <w:tcPr>
            <w:tcW w:w="0" w:type="auto"/>
          </w:tcPr>
          <w:p w14:paraId="658C524F" w14:textId="382624DE" w:rsidR="006243AD" w:rsidRPr="0061018B" w:rsidRDefault="0061018B" w:rsidP="006243AD">
            <w:pPr>
              <w:rPr>
                <w:rFonts w:asciiTheme="minorHAnsi" w:hAnsiTheme="minorHAnsi" w:cstheme="minorHAnsi"/>
                <w:b/>
                <w:sz w:val="20"/>
              </w:rPr>
            </w:pPr>
            <w:hyperlink r:id="rId10" w:history="1">
              <w:r w:rsidR="003E138D" w:rsidRPr="0061018B">
                <w:rPr>
                  <w:rStyle w:val="Hyperlink"/>
                  <w:rFonts w:asciiTheme="minorHAnsi" w:hAnsiTheme="minorHAnsi" w:cstheme="minorHAnsi"/>
                  <w:b/>
                  <w:sz w:val="20"/>
                </w:rPr>
                <w:t>Scenario review</w:t>
              </w:r>
              <w:r w:rsidR="0070307B" w:rsidRPr="0061018B">
                <w:rPr>
                  <w:rStyle w:val="Hyperlink"/>
                  <w:rFonts w:asciiTheme="minorHAnsi" w:hAnsiTheme="minorHAnsi" w:cstheme="minorHAnsi"/>
                  <w:b/>
                  <w:sz w:val="20"/>
                </w:rPr>
                <w:t xml:space="preserve"> exercise</w:t>
              </w:r>
            </w:hyperlink>
          </w:p>
        </w:tc>
        <w:tc>
          <w:tcPr>
            <w:tcW w:w="0" w:type="auto"/>
          </w:tcPr>
          <w:p w14:paraId="763DE92D" w14:textId="77777777" w:rsidR="006243AD" w:rsidRDefault="003E138D" w:rsidP="006243AD">
            <w:pPr>
              <w:rPr>
                <w:rFonts w:asciiTheme="minorHAnsi" w:hAnsiTheme="minorHAnsi" w:cstheme="minorHAnsi"/>
                <w:sz w:val="20"/>
              </w:rPr>
            </w:pPr>
            <w:r>
              <w:rPr>
                <w:rFonts w:asciiTheme="minorHAnsi" w:hAnsiTheme="minorHAnsi" w:cstheme="minorHAnsi"/>
                <w:sz w:val="20"/>
              </w:rPr>
              <w:t>Reflective exercise to generate ideas for discussion in World Café exercise to follow.</w:t>
            </w:r>
          </w:p>
          <w:p w14:paraId="6C19B742" w14:textId="77777777" w:rsidR="00153563" w:rsidRPr="00153563" w:rsidRDefault="00153563" w:rsidP="00153563">
            <w:pPr>
              <w:rPr>
                <w:rFonts w:asciiTheme="minorHAnsi" w:hAnsiTheme="minorHAnsi" w:cstheme="minorHAnsi"/>
                <w:sz w:val="20"/>
              </w:rPr>
            </w:pPr>
            <w:r w:rsidRPr="00153563">
              <w:rPr>
                <w:rFonts w:asciiTheme="minorHAnsi" w:hAnsiTheme="minorHAnsi" w:cstheme="minorHAnsi"/>
                <w:i/>
                <w:iCs/>
                <w:sz w:val="20"/>
                <w:lang w:val="en-US"/>
              </w:rPr>
              <w:t xml:space="preserve">This exercise is an optional component in the Introduction to Health Equity session, so participants may have already seen these scenarios. If participants have already done this exercise, consider one of these options instead: </w:t>
            </w:r>
          </w:p>
          <w:p w14:paraId="31985AC2" w14:textId="77777777" w:rsidR="00AC35DD" w:rsidRPr="00153563" w:rsidRDefault="00AA0906" w:rsidP="00153563">
            <w:pPr>
              <w:numPr>
                <w:ilvl w:val="0"/>
                <w:numId w:val="4"/>
              </w:numPr>
              <w:tabs>
                <w:tab w:val="num" w:pos="720"/>
              </w:tabs>
              <w:rPr>
                <w:rFonts w:asciiTheme="minorHAnsi" w:hAnsiTheme="minorHAnsi" w:cstheme="minorHAnsi"/>
                <w:sz w:val="20"/>
              </w:rPr>
            </w:pPr>
            <w:r w:rsidRPr="00153563">
              <w:rPr>
                <w:rFonts w:asciiTheme="minorHAnsi" w:hAnsiTheme="minorHAnsi" w:cstheme="minorHAnsi"/>
                <w:i/>
                <w:iCs/>
                <w:sz w:val="20"/>
                <w:lang w:val="en-US"/>
              </w:rPr>
              <w:t>Post or share print-outs of the scenarios for a brief review and provide a few minutes to reflect on the questions on the next slide.</w:t>
            </w:r>
          </w:p>
          <w:p w14:paraId="0630B9A5" w14:textId="30374ED5" w:rsidR="00153563" w:rsidRPr="00153563" w:rsidRDefault="00AA0906" w:rsidP="006243AD">
            <w:pPr>
              <w:numPr>
                <w:ilvl w:val="0"/>
                <w:numId w:val="4"/>
              </w:numPr>
              <w:rPr>
                <w:rFonts w:asciiTheme="minorHAnsi" w:hAnsiTheme="minorHAnsi" w:cstheme="minorHAnsi"/>
                <w:sz w:val="20"/>
              </w:rPr>
            </w:pPr>
            <w:r w:rsidRPr="00153563">
              <w:rPr>
                <w:rFonts w:asciiTheme="minorHAnsi" w:hAnsiTheme="minorHAnsi" w:cstheme="minorHAnsi"/>
                <w:i/>
                <w:iCs/>
                <w:sz w:val="20"/>
                <w:lang w:val="en-US"/>
              </w:rPr>
              <w:t xml:space="preserve">Omit this exercise and provide a few minutes for participants to reflect on how health equity has been or could be addressed within their program or health authority. Invite them to think of where they might already be impacting health </w:t>
            </w:r>
            <w:r w:rsidRPr="00153563">
              <w:rPr>
                <w:rFonts w:asciiTheme="minorHAnsi" w:hAnsiTheme="minorHAnsi" w:cstheme="minorHAnsi"/>
                <w:i/>
                <w:iCs/>
                <w:sz w:val="20"/>
                <w:lang w:val="en-US"/>
              </w:rPr>
              <w:lastRenderedPageBreak/>
              <w:t>equity and how they could leverage those efforts to be a little more impactful.</w:t>
            </w:r>
          </w:p>
        </w:tc>
        <w:tc>
          <w:tcPr>
            <w:tcW w:w="0" w:type="auto"/>
          </w:tcPr>
          <w:p w14:paraId="164EA03F" w14:textId="066604A6" w:rsidR="006243AD" w:rsidRPr="00EF4550" w:rsidRDefault="006243AD" w:rsidP="006243AD">
            <w:pPr>
              <w:rPr>
                <w:rFonts w:asciiTheme="minorHAnsi" w:hAnsiTheme="minorHAnsi" w:cstheme="minorHAnsi"/>
                <w:sz w:val="20"/>
              </w:rPr>
            </w:pPr>
          </w:p>
        </w:tc>
      </w:tr>
      <w:tr w:rsidR="006243AD" w:rsidRPr="00A24733" w14:paraId="24E7EB5D" w14:textId="77777777" w:rsidTr="00F66742">
        <w:trPr>
          <w:trHeight w:val="737"/>
        </w:trPr>
        <w:tc>
          <w:tcPr>
            <w:tcW w:w="0" w:type="auto"/>
          </w:tcPr>
          <w:p w14:paraId="784C726C" w14:textId="77777777" w:rsidR="006243AD" w:rsidRPr="00EF4550" w:rsidRDefault="006243AD" w:rsidP="006243AD">
            <w:pPr>
              <w:rPr>
                <w:rFonts w:asciiTheme="minorHAnsi" w:hAnsiTheme="minorHAnsi" w:cstheme="minorHAnsi"/>
                <w:sz w:val="20"/>
              </w:rPr>
            </w:pPr>
          </w:p>
        </w:tc>
        <w:tc>
          <w:tcPr>
            <w:tcW w:w="0" w:type="auto"/>
          </w:tcPr>
          <w:p w14:paraId="27CE9C49" w14:textId="2FF38A83" w:rsidR="006243AD" w:rsidRPr="00EF4550" w:rsidRDefault="003E138D" w:rsidP="006243AD">
            <w:pPr>
              <w:rPr>
                <w:rFonts w:asciiTheme="minorHAnsi" w:hAnsiTheme="minorHAnsi" w:cstheme="minorHAnsi"/>
                <w:sz w:val="20"/>
              </w:rPr>
            </w:pPr>
            <w:r>
              <w:rPr>
                <w:rFonts w:asciiTheme="minorHAnsi" w:hAnsiTheme="minorHAnsi" w:cstheme="minorHAnsi"/>
                <w:sz w:val="20"/>
              </w:rPr>
              <w:t>5 min</w:t>
            </w:r>
          </w:p>
        </w:tc>
        <w:tc>
          <w:tcPr>
            <w:tcW w:w="0" w:type="auto"/>
          </w:tcPr>
          <w:p w14:paraId="3C4E6A85" w14:textId="14995FF8" w:rsidR="006243AD" w:rsidRDefault="003E138D" w:rsidP="006243AD">
            <w:pPr>
              <w:rPr>
                <w:rFonts w:asciiTheme="minorHAnsi" w:hAnsiTheme="minorHAnsi" w:cstheme="minorHAnsi"/>
                <w:b/>
                <w:sz w:val="20"/>
              </w:rPr>
            </w:pPr>
            <w:r>
              <w:rPr>
                <w:rFonts w:asciiTheme="minorHAnsi" w:hAnsiTheme="minorHAnsi" w:cstheme="minorHAnsi"/>
                <w:b/>
                <w:sz w:val="20"/>
              </w:rPr>
              <w:t>World Café – Instructions and overview</w:t>
            </w:r>
          </w:p>
        </w:tc>
        <w:tc>
          <w:tcPr>
            <w:tcW w:w="0" w:type="auto"/>
          </w:tcPr>
          <w:p w14:paraId="27594D87" w14:textId="45DF76EE" w:rsidR="006243AD" w:rsidRDefault="003E138D" w:rsidP="006243AD">
            <w:pPr>
              <w:rPr>
                <w:rFonts w:asciiTheme="minorHAnsi" w:hAnsiTheme="minorHAnsi" w:cstheme="minorHAnsi"/>
                <w:sz w:val="20"/>
              </w:rPr>
            </w:pPr>
            <w:r>
              <w:rPr>
                <w:rFonts w:asciiTheme="minorHAnsi" w:hAnsiTheme="minorHAnsi" w:cstheme="minorHAnsi"/>
                <w:sz w:val="20"/>
              </w:rPr>
              <w:t xml:space="preserve">Introduction to World Café format and provide instruction and discussion questions to participants. </w:t>
            </w:r>
          </w:p>
        </w:tc>
        <w:tc>
          <w:tcPr>
            <w:tcW w:w="0" w:type="auto"/>
          </w:tcPr>
          <w:p w14:paraId="28000C63" w14:textId="77777777" w:rsidR="006243AD" w:rsidRPr="00EF4550" w:rsidRDefault="006243AD" w:rsidP="006243AD">
            <w:pPr>
              <w:rPr>
                <w:rFonts w:asciiTheme="minorHAnsi" w:hAnsiTheme="minorHAnsi" w:cstheme="minorHAnsi"/>
                <w:sz w:val="20"/>
              </w:rPr>
            </w:pPr>
          </w:p>
        </w:tc>
      </w:tr>
      <w:tr w:rsidR="006243AD" w:rsidRPr="00A24733" w14:paraId="7CF73E8F" w14:textId="77777777" w:rsidTr="00F66742">
        <w:trPr>
          <w:trHeight w:val="737"/>
        </w:trPr>
        <w:tc>
          <w:tcPr>
            <w:tcW w:w="0" w:type="auto"/>
          </w:tcPr>
          <w:p w14:paraId="5A46F65F" w14:textId="77777777" w:rsidR="006243AD" w:rsidRPr="00EF4550" w:rsidRDefault="006243AD" w:rsidP="006243AD">
            <w:pPr>
              <w:rPr>
                <w:rFonts w:asciiTheme="minorHAnsi" w:hAnsiTheme="minorHAnsi" w:cstheme="minorHAnsi"/>
                <w:sz w:val="20"/>
              </w:rPr>
            </w:pPr>
          </w:p>
        </w:tc>
        <w:tc>
          <w:tcPr>
            <w:tcW w:w="0" w:type="auto"/>
          </w:tcPr>
          <w:p w14:paraId="6F668BCD" w14:textId="4B237E31" w:rsidR="006243AD" w:rsidRPr="00EF4550" w:rsidRDefault="003E138D" w:rsidP="006243AD">
            <w:pPr>
              <w:rPr>
                <w:rFonts w:asciiTheme="minorHAnsi" w:hAnsiTheme="minorHAnsi" w:cstheme="minorHAnsi"/>
                <w:sz w:val="20"/>
              </w:rPr>
            </w:pPr>
            <w:r>
              <w:rPr>
                <w:rFonts w:asciiTheme="minorHAnsi" w:hAnsiTheme="minorHAnsi" w:cstheme="minorHAnsi"/>
                <w:sz w:val="20"/>
              </w:rPr>
              <w:t>30-60 min</w:t>
            </w:r>
          </w:p>
        </w:tc>
        <w:tc>
          <w:tcPr>
            <w:tcW w:w="0" w:type="auto"/>
          </w:tcPr>
          <w:p w14:paraId="4C0E29E3" w14:textId="3FB52811" w:rsidR="006243AD" w:rsidRDefault="003E138D" w:rsidP="006243AD">
            <w:pPr>
              <w:rPr>
                <w:rFonts w:asciiTheme="minorHAnsi" w:hAnsiTheme="minorHAnsi" w:cstheme="minorHAnsi"/>
                <w:b/>
                <w:sz w:val="20"/>
              </w:rPr>
            </w:pPr>
            <w:r>
              <w:rPr>
                <w:rFonts w:asciiTheme="minorHAnsi" w:hAnsiTheme="minorHAnsi" w:cstheme="minorHAnsi"/>
                <w:b/>
                <w:sz w:val="20"/>
              </w:rPr>
              <w:t>World Café – Rounds (number of rounds depends on time available)</w:t>
            </w:r>
          </w:p>
        </w:tc>
        <w:tc>
          <w:tcPr>
            <w:tcW w:w="0" w:type="auto"/>
          </w:tcPr>
          <w:p w14:paraId="5669D164" w14:textId="5F131BC3" w:rsidR="006243AD" w:rsidRDefault="003E138D" w:rsidP="006243AD">
            <w:pPr>
              <w:rPr>
                <w:rFonts w:asciiTheme="minorHAnsi" w:hAnsiTheme="minorHAnsi" w:cstheme="minorHAnsi"/>
                <w:sz w:val="20"/>
              </w:rPr>
            </w:pPr>
            <w:r>
              <w:rPr>
                <w:rFonts w:asciiTheme="minorHAnsi" w:hAnsiTheme="minorHAnsi" w:cstheme="minorHAnsi"/>
                <w:sz w:val="20"/>
              </w:rPr>
              <w:t>In each round, small groups</w:t>
            </w:r>
            <w:r w:rsidRPr="003E138D">
              <w:rPr>
                <w:rFonts w:asciiTheme="minorHAnsi" w:hAnsiTheme="minorHAnsi" w:cstheme="minorHAnsi"/>
                <w:sz w:val="20"/>
              </w:rPr>
              <w:t xml:space="preserve"> discuss</w:t>
            </w:r>
            <w:r>
              <w:rPr>
                <w:rFonts w:asciiTheme="minorHAnsi" w:hAnsiTheme="minorHAnsi" w:cstheme="minorHAnsi"/>
                <w:sz w:val="20"/>
              </w:rPr>
              <w:t xml:space="preserve"> one of six </w:t>
            </w:r>
            <w:r w:rsidRPr="003E138D">
              <w:rPr>
                <w:rFonts w:asciiTheme="minorHAnsi" w:hAnsiTheme="minorHAnsi" w:cstheme="minorHAnsi"/>
                <w:sz w:val="20"/>
              </w:rPr>
              <w:t>questions to clarify (1)</w:t>
            </w:r>
            <w:r>
              <w:rPr>
                <w:rFonts w:asciiTheme="minorHAnsi" w:hAnsiTheme="minorHAnsi" w:cstheme="minorHAnsi"/>
                <w:sz w:val="20"/>
              </w:rPr>
              <w:t> </w:t>
            </w:r>
            <w:r w:rsidRPr="003E138D">
              <w:rPr>
                <w:rFonts w:asciiTheme="minorHAnsi" w:hAnsiTheme="minorHAnsi" w:cstheme="minorHAnsi"/>
                <w:sz w:val="20"/>
              </w:rPr>
              <w:t>ways to build organizational capacity for health equity within environmental health and (2)</w:t>
            </w:r>
            <w:r>
              <w:rPr>
                <w:rFonts w:asciiTheme="minorHAnsi" w:hAnsiTheme="minorHAnsi" w:cstheme="minorHAnsi"/>
                <w:sz w:val="20"/>
              </w:rPr>
              <w:t> </w:t>
            </w:r>
            <w:r w:rsidRPr="003E138D">
              <w:rPr>
                <w:rFonts w:asciiTheme="minorHAnsi" w:hAnsiTheme="minorHAnsi" w:cstheme="minorHAnsi"/>
                <w:sz w:val="20"/>
              </w:rPr>
              <w:t xml:space="preserve">how to clarify the mandate and role of environmental public health practitioners with respect to health equity and the social determinants of health.  </w:t>
            </w:r>
          </w:p>
        </w:tc>
        <w:tc>
          <w:tcPr>
            <w:tcW w:w="0" w:type="auto"/>
          </w:tcPr>
          <w:p w14:paraId="3492C0B2" w14:textId="77777777" w:rsidR="006243AD" w:rsidRPr="00EF4550" w:rsidRDefault="006243AD" w:rsidP="006243AD">
            <w:pPr>
              <w:rPr>
                <w:rFonts w:asciiTheme="minorHAnsi" w:hAnsiTheme="minorHAnsi" w:cstheme="minorHAnsi"/>
                <w:sz w:val="20"/>
              </w:rPr>
            </w:pPr>
          </w:p>
        </w:tc>
      </w:tr>
      <w:tr w:rsidR="006243AD" w:rsidRPr="00A24733" w14:paraId="031EB537" w14:textId="77777777" w:rsidTr="00F66742">
        <w:trPr>
          <w:trHeight w:val="737"/>
        </w:trPr>
        <w:tc>
          <w:tcPr>
            <w:tcW w:w="0" w:type="auto"/>
          </w:tcPr>
          <w:p w14:paraId="1C3BFE41" w14:textId="77777777" w:rsidR="006243AD" w:rsidRPr="00EF4550" w:rsidRDefault="006243AD" w:rsidP="006243AD">
            <w:pPr>
              <w:rPr>
                <w:rFonts w:asciiTheme="minorHAnsi" w:hAnsiTheme="minorHAnsi" w:cstheme="minorHAnsi"/>
                <w:sz w:val="20"/>
              </w:rPr>
            </w:pPr>
          </w:p>
        </w:tc>
        <w:tc>
          <w:tcPr>
            <w:tcW w:w="0" w:type="auto"/>
          </w:tcPr>
          <w:p w14:paraId="4495CB8B" w14:textId="0B296CD0" w:rsidR="006243AD" w:rsidRPr="00EF4550" w:rsidRDefault="003E138D" w:rsidP="006243AD">
            <w:pPr>
              <w:rPr>
                <w:rFonts w:asciiTheme="minorHAnsi" w:hAnsiTheme="minorHAnsi" w:cstheme="minorHAnsi"/>
                <w:sz w:val="20"/>
              </w:rPr>
            </w:pPr>
            <w:r>
              <w:rPr>
                <w:rFonts w:asciiTheme="minorHAnsi" w:hAnsiTheme="minorHAnsi" w:cstheme="minorHAnsi"/>
                <w:sz w:val="20"/>
              </w:rPr>
              <w:t>15 min</w:t>
            </w:r>
          </w:p>
        </w:tc>
        <w:tc>
          <w:tcPr>
            <w:tcW w:w="0" w:type="auto"/>
          </w:tcPr>
          <w:p w14:paraId="41AE7BB9" w14:textId="6C93E827" w:rsidR="006243AD" w:rsidRDefault="003E138D" w:rsidP="006243AD">
            <w:pPr>
              <w:rPr>
                <w:rFonts w:asciiTheme="minorHAnsi" w:hAnsiTheme="minorHAnsi" w:cstheme="minorHAnsi"/>
                <w:b/>
                <w:sz w:val="20"/>
              </w:rPr>
            </w:pPr>
            <w:r>
              <w:rPr>
                <w:rFonts w:asciiTheme="minorHAnsi" w:hAnsiTheme="minorHAnsi" w:cstheme="minorHAnsi"/>
                <w:b/>
                <w:sz w:val="20"/>
              </w:rPr>
              <w:t>World Café – Report back to plenary</w:t>
            </w:r>
          </w:p>
        </w:tc>
        <w:tc>
          <w:tcPr>
            <w:tcW w:w="0" w:type="auto"/>
          </w:tcPr>
          <w:p w14:paraId="5DCD3515" w14:textId="63373161" w:rsidR="006243AD" w:rsidRDefault="003E138D" w:rsidP="006243AD">
            <w:pPr>
              <w:rPr>
                <w:rFonts w:asciiTheme="minorHAnsi" w:hAnsiTheme="minorHAnsi" w:cstheme="minorHAnsi"/>
                <w:sz w:val="20"/>
              </w:rPr>
            </w:pPr>
            <w:r w:rsidRPr="003E138D">
              <w:rPr>
                <w:rFonts w:asciiTheme="minorHAnsi" w:hAnsiTheme="minorHAnsi" w:cstheme="minorHAnsi"/>
                <w:sz w:val="20"/>
              </w:rPr>
              <w:t>Each group shares two to three highlights or key messages from their discussion</w:t>
            </w:r>
          </w:p>
        </w:tc>
        <w:tc>
          <w:tcPr>
            <w:tcW w:w="0" w:type="auto"/>
          </w:tcPr>
          <w:p w14:paraId="247A4E68" w14:textId="77777777" w:rsidR="006243AD" w:rsidRPr="00EF4550" w:rsidRDefault="006243AD" w:rsidP="006243AD">
            <w:pPr>
              <w:rPr>
                <w:rFonts w:asciiTheme="minorHAnsi" w:hAnsiTheme="minorHAnsi" w:cstheme="minorHAnsi"/>
                <w:sz w:val="20"/>
              </w:rPr>
            </w:pPr>
          </w:p>
        </w:tc>
      </w:tr>
      <w:tr w:rsidR="006243AD" w:rsidRPr="00A24733" w14:paraId="783629A7" w14:textId="77777777" w:rsidTr="00F66742">
        <w:trPr>
          <w:trHeight w:val="737"/>
        </w:trPr>
        <w:tc>
          <w:tcPr>
            <w:tcW w:w="0" w:type="auto"/>
          </w:tcPr>
          <w:p w14:paraId="3725E9D0" w14:textId="277572F8" w:rsidR="006243AD" w:rsidRPr="00EF4550" w:rsidRDefault="006243AD" w:rsidP="006243AD">
            <w:pPr>
              <w:rPr>
                <w:rFonts w:asciiTheme="minorHAnsi" w:hAnsiTheme="minorHAnsi" w:cstheme="minorHAnsi"/>
                <w:sz w:val="20"/>
              </w:rPr>
            </w:pPr>
          </w:p>
        </w:tc>
        <w:tc>
          <w:tcPr>
            <w:tcW w:w="0" w:type="auto"/>
          </w:tcPr>
          <w:p w14:paraId="44878F5A" w14:textId="278D95AB" w:rsidR="006243AD" w:rsidRPr="00EF4550" w:rsidRDefault="006243AD" w:rsidP="006243AD">
            <w:pPr>
              <w:rPr>
                <w:rFonts w:asciiTheme="minorHAnsi" w:hAnsiTheme="minorHAnsi" w:cstheme="minorHAnsi"/>
                <w:sz w:val="20"/>
              </w:rPr>
            </w:pPr>
            <w:r w:rsidRPr="00EF4550">
              <w:rPr>
                <w:rFonts w:asciiTheme="minorHAnsi" w:hAnsiTheme="minorHAnsi" w:cstheme="minorHAnsi"/>
                <w:sz w:val="20"/>
              </w:rPr>
              <w:t>5 min</w:t>
            </w:r>
          </w:p>
        </w:tc>
        <w:tc>
          <w:tcPr>
            <w:tcW w:w="0" w:type="auto"/>
          </w:tcPr>
          <w:p w14:paraId="1F9351C7" w14:textId="2364B9DF" w:rsidR="006243AD" w:rsidRPr="00EF4550" w:rsidRDefault="006243AD" w:rsidP="006243AD">
            <w:pPr>
              <w:rPr>
                <w:rFonts w:asciiTheme="minorHAnsi" w:hAnsiTheme="minorHAnsi" w:cstheme="minorHAnsi"/>
                <w:b/>
                <w:sz w:val="20"/>
              </w:rPr>
            </w:pPr>
            <w:r w:rsidRPr="00EF4550">
              <w:rPr>
                <w:rFonts w:asciiTheme="minorHAnsi" w:hAnsiTheme="minorHAnsi" w:cstheme="minorHAnsi"/>
                <w:b/>
                <w:sz w:val="20"/>
              </w:rPr>
              <w:t>Conclusion and next steps</w:t>
            </w:r>
          </w:p>
        </w:tc>
        <w:tc>
          <w:tcPr>
            <w:tcW w:w="0" w:type="auto"/>
          </w:tcPr>
          <w:p w14:paraId="71B51036" w14:textId="7A1DC19D" w:rsidR="006243AD" w:rsidRPr="00EF4550" w:rsidRDefault="006243AD" w:rsidP="006243AD">
            <w:pPr>
              <w:rPr>
                <w:rFonts w:asciiTheme="minorHAnsi" w:hAnsiTheme="minorHAnsi" w:cstheme="minorHAnsi"/>
                <w:sz w:val="20"/>
              </w:rPr>
            </w:pPr>
            <w:r w:rsidRPr="00EF4550">
              <w:rPr>
                <w:rFonts w:asciiTheme="minorHAnsi" w:hAnsiTheme="minorHAnsi" w:cstheme="minorHAnsi"/>
                <w:sz w:val="20"/>
              </w:rPr>
              <w:t xml:space="preserve">Summary key points from presentation. Note next steps or upcoming health equity events. </w:t>
            </w:r>
          </w:p>
        </w:tc>
        <w:tc>
          <w:tcPr>
            <w:tcW w:w="0" w:type="auto"/>
          </w:tcPr>
          <w:p w14:paraId="4A3BEE6A" w14:textId="77777777" w:rsidR="006243AD" w:rsidRPr="00EF4550" w:rsidRDefault="006243AD" w:rsidP="006243AD">
            <w:pPr>
              <w:rPr>
                <w:rFonts w:asciiTheme="minorHAnsi" w:hAnsiTheme="minorHAnsi" w:cstheme="minorHAnsi"/>
                <w:sz w:val="20"/>
              </w:rPr>
            </w:pPr>
          </w:p>
        </w:tc>
      </w:tr>
      <w:tr w:rsidR="006243AD" w:rsidRPr="00A24733" w14:paraId="1AE082EE" w14:textId="77777777" w:rsidTr="00F66742">
        <w:trPr>
          <w:trHeight w:val="525"/>
        </w:trPr>
        <w:tc>
          <w:tcPr>
            <w:tcW w:w="0" w:type="auto"/>
          </w:tcPr>
          <w:p w14:paraId="78A7C794" w14:textId="77777777" w:rsidR="006243AD" w:rsidRPr="00EF4550" w:rsidRDefault="006243AD" w:rsidP="006243AD">
            <w:pPr>
              <w:rPr>
                <w:rFonts w:asciiTheme="minorHAnsi" w:hAnsiTheme="minorHAnsi" w:cstheme="minorHAnsi"/>
                <w:sz w:val="20"/>
              </w:rPr>
            </w:pPr>
          </w:p>
        </w:tc>
        <w:tc>
          <w:tcPr>
            <w:tcW w:w="0" w:type="auto"/>
          </w:tcPr>
          <w:p w14:paraId="57A067A9" w14:textId="7EFEBAA1" w:rsidR="006243AD" w:rsidRPr="00EF4550" w:rsidRDefault="006243AD" w:rsidP="006243AD">
            <w:pPr>
              <w:rPr>
                <w:rFonts w:asciiTheme="minorHAnsi" w:hAnsiTheme="minorHAnsi" w:cstheme="minorHAnsi"/>
                <w:sz w:val="20"/>
              </w:rPr>
            </w:pPr>
            <w:r w:rsidRPr="00EF4550">
              <w:rPr>
                <w:rFonts w:asciiTheme="minorHAnsi" w:hAnsiTheme="minorHAnsi" w:cstheme="minorHAnsi"/>
                <w:sz w:val="20"/>
              </w:rPr>
              <w:t>5 min</w:t>
            </w:r>
          </w:p>
        </w:tc>
        <w:tc>
          <w:tcPr>
            <w:tcW w:w="0" w:type="auto"/>
          </w:tcPr>
          <w:p w14:paraId="3FB591A4" w14:textId="450681BE" w:rsidR="006243AD" w:rsidRPr="00EF4550" w:rsidRDefault="006243AD" w:rsidP="006243AD">
            <w:pPr>
              <w:rPr>
                <w:rFonts w:asciiTheme="minorHAnsi" w:hAnsiTheme="minorHAnsi" w:cstheme="minorHAnsi"/>
                <w:b/>
                <w:sz w:val="20"/>
              </w:rPr>
            </w:pPr>
            <w:r w:rsidRPr="00EF4550">
              <w:rPr>
                <w:rFonts w:asciiTheme="minorHAnsi" w:hAnsiTheme="minorHAnsi" w:cstheme="minorHAnsi"/>
                <w:b/>
                <w:sz w:val="20"/>
              </w:rPr>
              <w:t>Evaluation</w:t>
            </w:r>
          </w:p>
        </w:tc>
        <w:tc>
          <w:tcPr>
            <w:tcW w:w="0" w:type="auto"/>
          </w:tcPr>
          <w:p w14:paraId="33A112DA" w14:textId="2DDA3886" w:rsidR="006243AD" w:rsidRPr="00EF4550" w:rsidRDefault="006243AD" w:rsidP="006243AD">
            <w:pPr>
              <w:rPr>
                <w:rFonts w:asciiTheme="minorHAnsi" w:hAnsiTheme="minorHAnsi" w:cstheme="minorHAnsi"/>
                <w:sz w:val="20"/>
              </w:rPr>
            </w:pPr>
            <w:r w:rsidRPr="00EF4550">
              <w:rPr>
                <w:rFonts w:asciiTheme="minorHAnsi" w:hAnsiTheme="minorHAnsi" w:cstheme="minorHAnsi"/>
                <w:sz w:val="20"/>
              </w:rPr>
              <w:t>Participants fill out evaluation forms.</w:t>
            </w:r>
          </w:p>
        </w:tc>
        <w:tc>
          <w:tcPr>
            <w:tcW w:w="0" w:type="auto"/>
          </w:tcPr>
          <w:p w14:paraId="455CF99B" w14:textId="77777777" w:rsidR="006243AD" w:rsidRPr="00EF4550" w:rsidRDefault="006243AD" w:rsidP="006243AD">
            <w:pPr>
              <w:rPr>
                <w:rFonts w:asciiTheme="minorHAnsi" w:hAnsiTheme="minorHAnsi" w:cstheme="minorHAnsi"/>
                <w:sz w:val="20"/>
              </w:rPr>
            </w:pPr>
          </w:p>
        </w:tc>
      </w:tr>
    </w:tbl>
    <w:p w14:paraId="50E8E101" w14:textId="77777777" w:rsidR="005132C8" w:rsidRPr="00A24733" w:rsidRDefault="005132C8" w:rsidP="005132C8">
      <w:pPr>
        <w:rPr>
          <w:rFonts w:asciiTheme="minorHAnsi" w:hAnsiTheme="minorHAnsi" w:cstheme="minorHAnsi"/>
          <w:b/>
        </w:rPr>
      </w:pPr>
    </w:p>
    <w:p w14:paraId="4894765D" w14:textId="4D829FFF" w:rsidR="002A2000" w:rsidRDefault="00D92515" w:rsidP="00482B7B">
      <w:pPr>
        <w:rPr>
          <w:rFonts w:asciiTheme="minorHAnsi" w:hAnsiTheme="minorHAnsi" w:cstheme="minorHAnsi"/>
          <w:b/>
        </w:rPr>
      </w:pPr>
      <w:r w:rsidRPr="00DE55E9">
        <w:rPr>
          <w:rFonts w:asciiTheme="minorHAnsi" w:hAnsiTheme="minorHAnsi" w:cstheme="minorHAnsi"/>
          <w:b/>
        </w:rPr>
        <w:t xml:space="preserve">RESOURCES: </w:t>
      </w:r>
      <w:hyperlink r:id="rId11" w:history="1">
        <w:r w:rsidRPr="0061018B">
          <w:rPr>
            <w:rStyle w:val="Hyperlink"/>
            <w:rFonts w:asciiTheme="minorHAnsi" w:hAnsiTheme="minorHAnsi" w:cstheme="minorHAnsi"/>
            <w:b/>
          </w:rPr>
          <w:t>World Café guide</w:t>
        </w:r>
      </w:hyperlink>
    </w:p>
    <w:p w14:paraId="62774AAB" w14:textId="77777777" w:rsidR="00DE55E9" w:rsidRPr="00DE55E9" w:rsidRDefault="00DE55E9" w:rsidP="00482B7B">
      <w:pPr>
        <w:rPr>
          <w:rFonts w:asciiTheme="minorHAnsi" w:hAnsiTheme="minorHAnsi" w:cstheme="minorHAnsi"/>
          <w:b/>
        </w:rPr>
      </w:pPr>
    </w:p>
    <w:p w14:paraId="11994967" w14:textId="470A906E" w:rsidR="00F66742" w:rsidRDefault="00F66742">
      <w:r w:rsidRPr="00F66742">
        <w:rPr>
          <w:b/>
        </w:rPr>
        <w:t>WORLD CAFÉ QUESTIONS</w:t>
      </w:r>
      <w:r>
        <w:rPr>
          <w:b/>
        </w:rPr>
        <w:t xml:space="preserve"> with prompts for table hosts</w:t>
      </w:r>
      <w:r w:rsidRPr="00F66742">
        <w:rPr>
          <w:b/>
        </w:rPr>
        <w:t>:</w:t>
      </w:r>
    </w:p>
    <w:p w14:paraId="7E0EF1A2" w14:textId="77777777" w:rsidR="00A97E7E" w:rsidRPr="00F66742" w:rsidRDefault="00BB5A7A" w:rsidP="00F66742">
      <w:pPr>
        <w:numPr>
          <w:ilvl w:val="0"/>
          <w:numId w:val="3"/>
        </w:numPr>
      </w:pPr>
      <w:r w:rsidRPr="00F66742">
        <w:rPr>
          <w:lang w:val="en-US"/>
        </w:rPr>
        <w:t>What opportunities in your health region might be leveraged toward action on health equity and social determinants of health?</w:t>
      </w:r>
    </w:p>
    <w:p w14:paraId="1E58BE1A" w14:textId="77777777" w:rsidR="00A97E7E" w:rsidRPr="00F66742" w:rsidRDefault="00BB5A7A" w:rsidP="00F66742">
      <w:pPr>
        <w:numPr>
          <w:ilvl w:val="1"/>
          <w:numId w:val="3"/>
        </w:numPr>
      </w:pPr>
      <w:r w:rsidRPr="00F66742">
        <w:rPr>
          <w:lang w:val="en-US"/>
        </w:rPr>
        <w:t>Are there other public health professionals are involved with the social determinants of health and health equity?</w:t>
      </w:r>
    </w:p>
    <w:p w14:paraId="4D81B4CD" w14:textId="77777777" w:rsidR="00A97E7E" w:rsidRPr="00F66742" w:rsidRDefault="00BB5A7A" w:rsidP="00F66742">
      <w:pPr>
        <w:numPr>
          <w:ilvl w:val="1"/>
          <w:numId w:val="3"/>
        </w:numPr>
      </w:pPr>
      <w:r w:rsidRPr="00F66742">
        <w:rPr>
          <w:lang w:val="en-US"/>
        </w:rPr>
        <w:t>Are there other professionals outside of public health that are involved with these issues?</w:t>
      </w:r>
    </w:p>
    <w:p w14:paraId="0401EFA6" w14:textId="77777777" w:rsidR="00A97E7E" w:rsidRPr="00F66742" w:rsidRDefault="00BB5A7A" w:rsidP="00F66742">
      <w:pPr>
        <w:numPr>
          <w:ilvl w:val="1"/>
          <w:numId w:val="3"/>
        </w:numPr>
      </w:pPr>
      <w:r w:rsidRPr="00F66742">
        <w:rPr>
          <w:lang w:val="en-US"/>
        </w:rPr>
        <w:t>Are there any standards, policies, tools, or strategic plans that highlight the importance of health equity to the public health mandate? (e.g., equity protocols, public health standards, health equity impact assessment tools, healthy communities frameworks, etc.)</w:t>
      </w:r>
    </w:p>
    <w:p w14:paraId="5953583E" w14:textId="5D5FB47A" w:rsidR="00A97E7E" w:rsidRPr="00F66742" w:rsidRDefault="00BB5A7A" w:rsidP="00F66742">
      <w:pPr>
        <w:numPr>
          <w:ilvl w:val="0"/>
          <w:numId w:val="3"/>
        </w:numPr>
      </w:pPr>
      <w:r w:rsidRPr="00F66742">
        <w:rPr>
          <w:lang w:val="en-US"/>
        </w:rPr>
        <w:t xml:space="preserve">How might </w:t>
      </w:r>
      <w:r w:rsidR="00CD1977">
        <w:rPr>
          <w:lang w:val="en-US"/>
        </w:rPr>
        <w:t>EPHP</w:t>
      </w:r>
      <w:r w:rsidRPr="00F66742">
        <w:rPr>
          <w:lang w:val="en-US"/>
        </w:rPr>
        <w:t>s be recognized for time spent working from a health equity &amp; social determinants of health perspective?</w:t>
      </w:r>
    </w:p>
    <w:p w14:paraId="6D6D316A" w14:textId="3F8131C3" w:rsidR="00A97E7E" w:rsidRPr="00F66742" w:rsidRDefault="00BB5A7A" w:rsidP="00F66742">
      <w:pPr>
        <w:numPr>
          <w:ilvl w:val="1"/>
          <w:numId w:val="3"/>
        </w:numPr>
      </w:pPr>
      <w:r w:rsidRPr="00F66742">
        <w:rPr>
          <w:lang w:val="en-US"/>
        </w:rPr>
        <w:t xml:space="preserve">If an individual </w:t>
      </w:r>
      <w:r w:rsidR="00CD1977">
        <w:rPr>
          <w:lang w:val="en-US"/>
        </w:rPr>
        <w:t>EPHP</w:t>
      </w:r>
      <w:r w:rsidRPr="00F66742">
        <w:rPr>
          <w:lang w:val="en-US"/>
        </w:rPr>
        <w:t xml:space="preserve"> is interested in doing this work, how can they make it happen?</w:t>
      </w:r>
    </w:p>
    <w:p w14:paraId="110DA91F" w14:textId="3E3A67E5" w:rsidR="00A97E7E" w:rsidRPr="00F66742" w:rsidRDefault="00BB5A7A" w:rsidP="00F66742">
      <w:pPr>
        <w:numPr>
          <w:ilvl w:val="1"/>
          <w:numId w:val="3"/>
        </w:numPr>
      </w:pPr>
      <w:r w:rsidRPr="00F66742">
        <w:rPr>
          <w:lang w:val="en-US"/>
        </w:rPr>
        <w:t xml:space="preserve">Are there opportunities for </w:t>
      </w:r>
      <w:r w:rsidR="00CD1977">
        <w:rPr>
          <w:lang w:val="en-US"/>
        </w:rPr>
        <w:t>EPHP</w:t>
      </w:r>
      <w:r w:rsidRPr="00F66742">
        <w:rPr>
          <w:lang w:val="en-US"/>
        </w:rPr>
        <w:t>s to be involved in organizational activities to support this? (e.g., performance appraisal, continuous quality improvement, program planning)</w:t>
      </w:r>
    </w:p>
    <w:p w14:paraId="541DB63E" w14:textId="77777777" w:rsidR="00A97E7E" w:rsidRPr="00F66742" w:rsidRDefault="00BB5A7A" w:rsidP="00F66742">
      <w:pPr>
        <w:numPr>
          <w:ilvl w:val="1"/>
          <w:numId w:val="3"/>
        </w:numPr>
      </w:pPr>
      <w:r w:rsidRPr="00F66742">
        <w:rPr>
          <w:lang w:val="en-US"/>
        </w:rPr>
        <w:t>Can individual efforts be shared/highlighted in staff meetings, internal newsletters, etc.?</w:t>
      </w:r>
    </w:p>
    <w:p w14:paraId="12E55A45" w14:textId="77777777" w:rsidR="00A97E7E" w:rsidRPr="00F66742" w:rsidRDefault="00BB5A7A" w:rsidP="00F66742">
      <w:pPr>
        <w:numPr>
          <w:ilvl w:val="0"/>
          <w:numId w:val="3"/>
        </w:numPr>
      </w:pPr>
      <w:r w:rsidRPr="00F66742">
        <w:rPr>
          <w:lang w:val="en-US"/>
        </w:rPr>
        <w:t>What training would facilitate the application of an equity lens in practice and/or involvement with community coalitions?</w:t>
      </w:r>
    </w:p>
    <w:p w14:paraId="03C4B235" w14:textId="1C42F76A" w:rsidR="00A97E7E" w:rsidRPr="00F66742" w:rsidRDefault="00BB5A7A" w:rsidP="00F66742">
      <w:pPr>
        <w:numPr>
          <w:ilvl w:val="1"/>
          <w:numId w:val="3"/>
        </w:numPr>
      </w:pPr>
      <w:r w:rsidRPr="00F66742">
        <w:rPr>
          <w:lang w:val="en-US"/>
        </w:rPr>
        <w:t xml:space="preserve">Are there professional development opportunities being offered to other public health staff that would support </w:t>
      </w:r>
      <w:r w:rsidR="00CD1977">
        <w:rPr>
          <w:lang w:val="en-US"/>
        </w:rPr>
        <w:t>EPHP</w:t>
      </w:r>
      <w:r w:rsidRPr="00F66742">
        <w:rPr>
          <w:lang w:val="en-US"/>
        </w:rPr>
        <w:t>s?</w:t>
      </w:r>
    </w:p>
    <w:p w14:paraId="2BF54404" w14:textId="77777777" w:rsidR="00A97E7E" w:rsidRPr="00F66742" w:rsidRDefault="00BB5A7A" w:rsidP="00F66742">
      <w:pPr>
        <w:numPr>
          <w:ilvl w:val="1"/>
          <w:numId w:val="3"/>
        </w:numPr>
      </w:pPr>
      <w:r w:rsidRPr="00F66742">
        <w:rPr>
          <w:lang w:val="en-US"/>
        </w:rPr>
        <w:t>Where can you look to learn more about the social determinants of health and health equity?</w:t>
      </w:r>
    </w:p>
    <w:p w14:paraId="7B3F2019" w14:textId="77777777" w:rsidR="00A97E7E" w:rsidRPr="00F66742" w:rsidRDefault="00BB5A7A" w:rsidP="00F66742">
      <w:pPr>
        <w:numPr>
          <w:ilvl w:val="1"/>
          <w:numId w:val="3"/>
        </w:numPr>
      </w:pPr>
      <w:r w:rsidRPr="00F66742">
        <w:rPr>
          <w:lang w:val="en-US"/>
        </w:rPr>
        <w:t>Could health equity be introduced in staff meetings or training sessions?</w:t>
      </w:r>
    </w:p>
    <w:p w14:paraId="3FBF4655" w14:textId="08BC7F6C" w:rsidR="00A97E7E" w:rsidRPr="00F66742" w:rsidRDefault="00BB5A7A" w:rsidP="00F66742">
      <w:pPr>
        <w:numPr>
          <w:ilvl w:val="1"/>
          <w:numId w:val="3"/>
        </w:numPr>
      </w:pPr>
      <w:r w:rsidRPr="00F66742">
        <w:rPr>
          <w:lang w:val="en-US"/>
        </w:rPr>
        <w:t xml:space="preserve">How might a role for </w:t>
      </w:r>
      <w:r w:rsidR="00CD1977">
        <w:rPr>
          <w:lang w:val="en-US"/>
        </w:rPr>
        <w:t>EPHP</w:t>
      </w:r>
      <w:r w:rsidRPr="00F66742">
        <w:rPr>
          <w:lang w:val="en-US"/>
        </w:rPr>
        <w:t>s be more clearly stated?</w:t>
      </w:r>
    </w:p>
    <w:p w14:paraId="27FA1069" w14:textId="77777777" w:rsidR="00A97E7E" w:rsidRPr="00F66742" w:rsidRDefault="00BB5A7A" w:rsidP="00F66742">
      <w:pPr>
        <w:numPr>
          <w:ilvl w:val="0"/>
          <w:numId w:val="3"/>
        </w:numPr>
      </w:pPr>
      <w:r w:rsidRPr="00F66742">
        <w:rPr>
          <w:lang w:val="en-US"/>
        </w:rPr>
        <w:lastRenderedPageBreak/>
        <w:t>How could health equity and the social determinants of health be worked into CIPHI competencies or Board of Certification requirements for environmental public health practice?</w:t>
      </w:r>
    </w:p>
    <w:p w14:paraId="3F544457" w14:textId="2B910437" w:rsidR="00A97E7E" w:rsidRPr="00F66742" w:rsidRDefault="00BB5A7A" w:rsidP="00F66742">
      <w:pPr>
        <w:numPr>
          <w:ilvl w:val="1"/>
          <w:numId w:val="3"/>
        </w:numPr>
      </w:pPr>
      <w:r w:rsidRPr="00F66742">
        <w:rPr>
          <w:lang w:val="en-US"/>
        </w:rPr>
        <w:t xml:space="preserve">Are there opportunities to influence the education and training of </w:t>
      </w:r>
      <w:r w:rsidR="00CD1977">
        <w:rPr>
          <w:lang w:val="en-US"/>
        </w:rPr>
        <w:t>EPHP</w:t>
      </w:r>
      <w:r w:rsidRPr="00F66742">
        <w:rPr>
          <w:lang w:val="en-US"/>
        </w:rPr>
        <w:t>s?</w:t>
      </w:r>
    </w:p>
    <w:p w14:paraId="1ECEA04A" w14:textId="77777777" w:rsidR="00A97E7E" w:rsidRPr="00F66742" w:rsidRDefault="00BB5A7A" w:rsidP="00F66742">
      <w:pPr>
        <w:numPr>
          <w:ilvl w:val="1"/>
          <w:numId w:val="3"/>
        </w:numPr>
      </w:pPr>
      <w:r w:rsidRPr="00F66742">
        <w:rPr>
          <w:lang w:val="en-US"/>
        </w:rPr>
        <w:t>Can social determinants of health be incorporated into student placements?</w:t>
      </w:r>
    </w:p>
    <w:p w14:paraId="77E7F2D3" w14:textId="77777777" w:rsidR="00A97E7E" w:rsidRPr="00F66742" w:rsidRDefault="00BB5A7A" w:rsidP="00F66742">
      <w:pPr>
        <w:numPr>
          <w:ilvl w:val="1"/>
          <w:numId w:val="3"/>
        </w:numPr>
      </w:pPr>
      <w:r w:rsidRPr="00F66742">
        <w:rPr>
          <w:lang w:val="en-US"/>
        </w:rPr>
        <w:t>How can training standards incorporate health equity so that institutions and educators are more likely to address these issues?</w:t>
      </w:r>
    </w:p>
    <w:p w14:paraId="185B6E7C" w14:textId="77777777" w:rsidR="00A97E7E" w:rsidRPr="00F66742" w:rsidRDefault="00BB5A7A" w:rsidP="00F66742">
      <w:pPr>
        <w:numPr>
          <w:ilvl w:val="0"/>
          <w:numId w:val="3"/>
        </w:numPr>
      </w:pPr>
      <w:r w:rsidRPr="00F66742">
        <w:rPr>
          <w:lang w:val="en-US"/>
        </w:rPr>
        <w:t>What kind of management support or regional/provincial policy would help implement an equity lens in environmental public health practice?</w:t>
      </w:r>
    </w:p>
    <w:p w14:paraId="06AA38D5" w14:textId="5251F179" w:rsidR="00A97E7E" w:rsidRPr="00F66742" w:rsidRDefault="00BB5A7A" w:rsidP="00F66742">
      <w:pPr>
        <w:numPr>
          <w:ilvl w:val="1"/>
          <w:numId w:val="3"/>
        </w:numPr>
      </w:pPr>
      <w:r w:rsidRPr="00F66742">
        <w:rPr>
          <w:lang w:val="en-US"/>
        </w:rPr>
        <w:t xml:space="preserve">What would make it possible for your health region/health unit to support </w:t>
      </w:r>
      <w:r w:rsidR="00CD1977">
        <w:rPr>
          <w:lang w:val="en-US"/>
        </w:rPr>
        <w:t>EPHP</w:t>
      </w:r>
      <w:r w:rsidRPr="00F66742">
        <w:rPr>
          <w:lang w:val="en-US"/>
        </w:rPr>
        <w:t>s to work on social determinants of health and health equity?</w:t>
      </w:r>
    </w:p>
    <w:p w14:paraId="4B52F62E" w14:textId="77777777" w:rsidR="00A97E7E" w:rsidRPr="00F66742" w:rsidRDefault="00BB5A7A" w:rsidP="00F66742">
      <w:pPr>
        <w:numPr>
          <w:ilvl w:val="1"/>
          <w:numId w:val="3"/>
        </w:numPr>
      </w:pPr>
      <w:r w:rsidRPr="00F66742">
        <w:rPr>
          <w:lang w:val="en-US"/>
        </w:rPr>
        <w:t>How might managers or supervisors in your organization champion this work? What about executives?</w:t>
      </w:r>
    </w:p>
    <w:p w14:paraId="48BB2265" w14:textId="77777777" w:rsidR="00A97E7E" w:rsidRPr="00F66742" w:rsidRDefault="00BB5A7A" w:rsidP="00F66742">
      <w:pPr>
        <w:numPr>
          <w:ilvl w:val="1"/>
          <w:numId w:val="3"/>
        </w:numPr>
      </w:pPr>
      <w:r w:rsidRPr="00F66742">
        <w:rPr>
          <w:lang w:val="en-US"/>
        </w:rPr>
        <w:t>What is needed from the provincial level to support this work? From the Ministry of Health?</w:t>
      </w:r>
    </w:p>
    <w:p w14:paraId="36DD999B" w14:textId="77777777" w:rsidR="00F66742" w:rsidRPr="00F66742" w:rsidRDefault="00F66742"/>
    <w:sectPr w:rsidR="00F66742" w:rsidRPr="00F66742" w:rsidSect="0035117A">
      <w:footerReference w:type="default" r:id="rId12"/>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19855" w14:textId="77777777" w:rsidR="00C27E4F" w:rsidRDefault="00C27E4F" w:rsidP="005132C8">
      <w:r>
        <w:separator/>
      </w:r>
    </w:p>
  </w:endnote>
  <w:endnote w:type="continuationSeparator" w:id="0">
    <w:p w14:paraId="7559A773" w14:textId="77777777" w:rsidR="00C27E4F" w:rsidRDefault="00C27E4F" w:rsidP="00513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C3640" w14:textId="4CCA3A65" w:rsidR="0070307B" w:rsidRDefault="0070307B">
    <w:pPr>
      <w:pStyle w:val="Footer"/>
    </w:pPr>
    <w:r>
      <w:t xml:space="preserve">VERSION: </w:t>
    </w:r>
    <w:r w:rsidR="0061018B">
      <w:t>19</w:t>
    </w:r>
    <w:r>
      <w:t xml:space="preserve"> November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B8FB8" w14:textId="77777777" w:rsidR="00C27E4F" w:rsidRDefault="00C27E4F" w:rsidP="005132C8">
      <w:r>
        <w:separator/>
      </w:r>
    </w:p>
  </w:footnote>
  <w:footnote w:type="continuationSeparator" w:id="0">
    <w:p w14:paraId="7DAD27C7" w14:textId="77777777" w:rsidR="00C27E4F" w:rsidRDefault="00C27E4F" w:rsidP="00513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1E2F"/>
    <w:multiLevelType w:val="hybridMultilevel"/>
    <w:tmpl w:val="35E4F07E"/>
    <w:lvl w:ilvl="0" w:tplc="CB60B694">
      <w:start w:val="1"/>
      <w:numFmt w:val="decimal"/>
      <w:lvlText w:val="%1."/>
      <w:lvlJc w:val="left"/>
      <w:pPr>
        <w:tabs>
          <w:tab w:val="num" w:pos="720"/>
        </w:tabs>
        <w:ind w:left="720" w:hanging="360"/>
      </w:pPr>
    </w:lvl>
    <w:lvl w:ilvl="1" w:tplc="FC2E1C80">
      <w:start w:val="12395"/>
      <w:numFmt w:val="bullet"/>
      <w:lvlText w:val=""/>
      <w:lvlJc w:val="left"/>
      <w:pPr>
        <w:tabs>
          <w:tab w:val="num" w:pos="1440"/>
        </w:tabs>
        <w:ind w:left="1440" w:hanging="360"/>
      </w:pPr>
      <w:rPr>
        <w:rFonts w:ascii="Symbol" w:hAnsi="Symbol" w:hint="default"/>
      </w:rPr>
    </w:lvl>
    <w:lvl w:ilvl="2" w:tplc="9CB2FDD0" w:tentative="1">
      <w:start w:val="1"/>
      <w:numFmt w:val="decimal"/>
      <w:lvlText w:val="%3."/>
      <w:lvlJc w:val="left"/>
      <w:pPr>
        <w:tabs>
          <w:tab w:val="num" w:pos="2160"/>
        </w:tabs>
        <w:ind w:left="2160" w:hanging="360"/>
      </w:pPr>
    </w:lvl>
    <w:lvl w:ilvl="3" w:tplc="AC663410" w:tentative="1">
      <w:start w:val="1"/>
      <w:numFmt w:val="decimal"/>
      <w:lvlText w:val="%4."/>
      <w:lvlJc w:val="left"/>
      <w:pPr>
        <w:tabs>
          <w:tab w:val="num" w:pos="2880"/>
        </w:tabs>
        <w:ind w:left="2880" w:hanging="360"/>
      </w:pPr>
    </w:lvl>
    <w:lvl w:ilvl="4" w:tplc="C38A16A8" w:tentative="1">
      <w:start w:val="1"/>
      <w:numFmt w:val="decimal"/>
      <w:lvlText w:val="%5."/>
      <w:lvlJc w:val="left"/>
      <w:pPr>
        <w:tabs>
          <w:tab w:val="num" w:pos="3600"/>
        </w:tabs>
        <w:ind w:left="3600" w:hanging="360"/>
      </w:pPr>
    </w:lvl>
    <w:lvl w:ilvl="5" w:tplc="71B0D460" w:tentative="1">
      <w:start w:val="1"/>
      <w:numFmt w:val="decimal"/>
      <w:lvlText w:val="%6."/>
      <w:lvlJc w:val="left"/>
      <w:pPr>
        <w:tabs>
          <w:tab w:val="num" w:pos="4320"/>
        </w:tabs>
        <w:ind w:left="4320" w:hanging="360"/>
      </w:pPr>
    </w:lvl>
    <w:lvl w:ilvl="6" w:tplc="22C2D7BC" w:tentative="1">
      <w:start w:val="1"/>
      <w:numFmt w:val="decimal"/>
      <w:lvlText w:val="%7."/>
      <w:lvlJc w:val="left"/>
      <w:pPr>
        <w:tabs>
          <w:tab w:val="num" w:pos="5040"/>
        </w:tabs>
        <w:ind w:left="5040" w:hanging="360"/>
      </w:pPr>
    </w:lvl>
    <w:lvl w:ilvl="7" w:tplc="BE7882A2" w:tentative="1">
      <w:start w:val="1"/>
      <w:numFmt w:val="decimal"/>
      <w:lvlText w:val="%8."/>
      <w:lvlJc w:val="left"/>
      <w:pPr>
        <w:tabs>
          <w:tab w:val="num" w:pos="5760"/>
        </w:tabs>
        <w:ind w:left="5760" w:hanging="360"/>
      </w:pPr>
    </w:lvl>
    <w:lvl w:ilvl="8" w:tplc="15E686A6" w:tentative="1">
      <w:start w:val="1"/>
      <w:numFmt w:val="decimal"/>
      <w:lvlText w:val="%9."/>
      <w:lvlJc w:val="left"/>
      <w:pPr>
        <w:tabs>
          <w:tab w:val="num" w:pos="6480"/>
        </w:tabs>
        <w:ind w:left="6480" w:hanging="360"/>
      </w:pPr>
    </w:lvl>
  </w:abstractNum>
  <w:abstractNum w:abstractNumId="1" w15:restartNumberingAfterBreak="0">
    <w:nsid w:val="035F791A"/>
    <w:multiLevelType w:val="hybridMultilevel"/>
    <w:tmpl w:val="404646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EDD3555"/>
    <w:multiLevelType w:val="hybridMultilevel"/>
    <w:tmpl w:val="8496EB56"/>
    <w:lvl w:ilvl="0" w:tplc="DE865E3A">
      <w:start w:val="1"/>
      <w:numFmt w:val="decimal"/>
      <w:lvlText w:val="(%1)"/>
      <w:lvlJc w:val="left"/>
      <w:pPr>
        <w:tabs>
          <w:tab w:val="num" w:pos="360"/>
        </w:tabs>
        <w:ind w:left="360" w:hanging="360"/>
      </w:pPr>
    </w:lvl>
    <w:lvl w:ilvl="1" w:tplc="32461BAE" w:tentative="1">
      <w:start w:val="1"/>
      <w:numFmt w:val="decimal"/>
      <w:lvlText w:val="(%2)"/>
      <w:lvlJc w:val="left"/>
      <w:pPr>
        <w:tabs>
          <w:tab w:val="num" w:pos="1080"/>
        </w:tabs>
        <w:ind w:left="1080" w:hanging="360"/>
      </w:pPr>
    </w:lvl>
    <w:lvl w:ilvl="2" w:tplc="3BD4C20A" w:tentative="1">
      <w:start w:val="1"/>
      <w:numFmt w:val="decimal"/>
      <w:lvlText w:val="(%3)"/>
      <w:lvlJc w:val="left"/>
      <w:pPr>
        <w:tabs>
          <w:tab w:val="num" w:pos="1800"/>
        </w:tabs>
        <w:ind w:left="1800" w:hanging="360"/>
      </w:pPr>
    </w:lvl>
    <w:lvl w:ilvl="3" w:tplc="7D3CE168" w:tentative="1">
      <w:start w:val="1"/>
      <w:numFmt w:val="decimal"/>
      <w:lvlText w:val="(%4)"/>
      <w:lvlJc w:val="left"/>
      <w:pPr>
        <w:tabs>
          <w:tab w:val="num" w:pos="2520"/>
        </w:tabs>
        <w:ind w:left="2520" w:hanging="360"/>
      </w:pPr>
    </w:lvl>
    <w:lvl w:ilvl="4" w:tplc="0B285E28" w:tentative="1">
      <w:start w:val="1"/>
      <w:numFmt w:val="decimal"/>
      <w:lvlText w:val="(%5)"/>
      <w:lvlJc w:val="left"/>
      <w:pPr>
        <w:tabs>
          <w:tab w:val="num" w:pos="3240"/>
        </w:tabs>
        <w:ind w:left="3240" w:hanging="360"/>
      </w:pPr>
    </w:lvl>
    <w:lvl w:ilvl="5" w:tplc="A254FF68" w:tentative="1">
      <w:start w:val="1"/>
      <w:numFmt w:val="decimal"/>
      <w:lvlText w:val="(%6)"/>
      <w:lvlJc w:val="left"/>
      <w:pPr>
        <w:tabs>
          <w:tab w:val="num" w:pos="3960"/>
        </w:tabs>
        <w:ind w:left="3960" w:hanging="360"/>
      </w:pPr>
    </w:lvl>
    <w:lvl w:ilvl="6" w:tplc="E45C4928" w:tentative="1">
      <w:start w:val="1"/>
      <w:numFmt w:val="decimal"/>
      <w:lvlText w:val="(%7)"/>
      <w:lvlJc w:val="left"/>
      <w:pPr>
        <w:tabs>
          <w:tab w:val="num" w:pos="4680"/>
        </w:tabs>
        <w:ind w:left="4680" w:hanging="360"/>
      </w:pPr>
    </w:lvl>
    <w:lvl w:ilvl="7" w:tplc="D0B0AED0" w:tentative="1">
      <w:start w:val="1"/>
      <w:numFmt w:val="decimal"/>
      <w:lvlText w:val="(%8)"/>
      <w:lvlJc w:val="left"/>
      <w:pPr>
        <w:tabs>
          <w:tab w:val="num" w:pos="5400"/>
        </w:tabs>
        <w:ind w:left="5400" w:hanging="360"/>
      </w:pPr>
    </w:lvl>
    <w:lvl w:ilvl="8" w:tplc="143CBFAA" w:tentative="1">
      <w:start w:val="1"/>
      <w:numFmt w:val="decimal"/>
      <w:lvlText w:val="(%9)"/>
      <w:lvlJc w:val="left"/>
      <w:pPr>
        <w:tabs>
          <w:tab w:val="num" w:pos="6120"/>
        </w:tabs>
        <w:ind w:left="6120" w:hanging="360"/>
      </w:pPr>
    </w:lvl>
  </w:abstractNum>
  <w:abstractNum w:abstractNumId="3" w15:restartNumberingAfterBreak="0">
    <w:nsid w:val="62145747"/>
    <w:multiLevelType w:val="hybridMultilevel"/>
    <w:tmpl w:val="192E50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2C8"/>
    <w:rsid w:val="000909EC"/>
    <w:rsid w:val="000937C1"/>
    <w:rsid w:val="000D3115"/>
    <w:rsid w:val="00153563"/>
    <w:rsid w:val="00163B98"/>
    <w:rsid w:val="00290795"/>
    <w:rsid w:val="00296090"/>
    <w:rsid w:val="002A2000"/>
    <w:rsid w:val="002C1BD8"/>
    <w:rsid w:val="00322606"/>
    <w:rsid w:val="003260A7"/>
    <w:rsid w:val="0035117A"/>
    <w:rsid w:val="00354D73"/>
    <w:rsid w:val="00362CA2"/>
    <w:rsid w:val="003D1259"/>
    <w:rsid w:val="003D35B3"/>
    <w:rsid w:val="003E138D"/>
    <w:rsid w:val="004726DB"/>
    <w:rsid w:val="00482B7B"/>
    <w:rsid w:val="00487AC3"/>
    <w:rsid w:val="004A5215"/>
    <w:rsid w:val="005132C8"/>
    <w:rsid w:val="005142D9"/>
    <w:rsid w:val="00587727"/>
    <w:rsid w:val="005954B5"/>
    <w:rsid w:val="005A0792"/>
    <w:rsid w:val="0061018B"/>
    <w:rsid w:val="006243AD"/>
    <w:rsid w:val="006A4F70"/>
    <w:rsid w:val="0070307B"/>
    <w:rsid w:val="00735540"/>
    <w:rsid w:val="007D2B35"/>
    <w:rsid w:val="00817ECF"/>
    <w:rsid w:val="00892A27"/>
    <w:rsid w:val="009C64EC"/>
    <w:rsid w:val="00A97E7E"/>
    <w:rsid w:val="00AA0906"/>
    <w:rsid w:val="00AC35DD"/>
    <w:rsid w:val="00B856B4"/>
    <w:rsid w:val="00BA62DA"/>
    <w:rsid w:val="00BB5A7A"/>
    <w:rsid w:val="00BD3A9F"/>
    <w:rsid w:val="00C27E4F"/>
    <w:rsid w:val="00C70EAA"/>
    <w:rsid w:val="00C86284"/>
    <w:rsid w:val="00CD1977"/>
    <w:rsid w:val="00CE70DB"/>
    <w:rsid w:val="00D61095"/>
    <w:rsid w:val="00D838C0"/>
    <w:rsid w:val="00D92515"/>
    <w:rsid w:val="00DE55E9"/>
    <w:rsid w:val="00EF4550"/>
    <w:rsid w:val="00F13209"/>
    <w:rsid w:val="00F454AB"/>
    <w:rsid w:val="00F66742"/>
    <w:rsid w:val="00FB47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D28E4"/>
  <w15:chartTrackingRefBased/>
  <w15:docId w15:val="{775E0834-0BAA-466C-9776-564218AF8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sz w:val="18"/>
        <w:szCs w:val="18"/>
        <w:lang w:val="en-CA" w:eastAsia="en-US"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32C8"/>
    <w:pPr>
      <w:spacing w:after="0" w:line="240" w:lineRule="auto"/>
    </w:pPr>
    <w:rPr>
      <w:rFonts w:ascii="Calibri" w:hAnsi="Calibri" w:cs="Calibri"/>
      <w:color w:val="auto"/>
      <w:sz w:val="22"/>
      <w:szCs w:val="22"/>
      <w:lang w:eastAsia="en-CA"/>
    </w:rPr>
  </w:style>
  <w:style w:type="paragraph" w:styleId="Heading2">
    <w:name w:val="heading 2"/>
    <w:basedOn w:val="Normal"/>
    <w:next w:val="Normal"/>
    <w:link w:val="Heading2Char"/>
    <w:uiPriority w:val="9"/>
    <w:unhideWhenUsed/>
    <w:qFormat/>
    <w:rsid w:val="005132C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32C8"/>
    <w:pPr>
      <w:spacing w:after="0" w:line="240" w:lineRule="auto"/>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32C8"/>
    <w:pPr>
      <w:tabs>
        <w:tab w:val="center" w:pos="4680"/>
        <w:tab w:val="right" w:pos="9360"/>
      </w:tabs>
    </w:pPr>
  </w:style>
  <w:style w:type="character" w:customStyle="1" w:styleId="HeaderChar">
    <w:name w:val="Header Char"/>
    <w:basedOn w:val="DefaultParagraphFont"/>
    <w:link w:val="Header"/>
    <w:uiPriority w:val="99"/>
    <w:rsid w:val="005132C8"/>
    <w:rPr>
      <w:rFonts w:ascii="Calibri" w:hAnsi="Calibri" w:cs="Calibri"/>
      <w:color w:val="auto"/>
      <w:sz w:val="22"/>
      <w:szCs w:val="22"/>
      <w:lang w:eastAsia="en-CA"/>
    </w:rPr>
  </w:style>
  <w:style w:type="paragraph" w:styleId="Footer">
    <w:name w:val="footer"/>
    <w:basedOn w:val="Normal"/>
    <w:link w:val="FooterChar"/>
    <w:uiPriority w:val="99"/>
    <w:unhideWhenUsed/>
    <w:rsid w:val="005132C8"/>
    <w:pPr>
      <w:tabs>
        <w:tab w:val="center" w:pos="4680"/>
        <w:tab w:val="right" w:pos="9360"/>
      </w:tabs>
    </w:pPr>
  </w:style>
  <w:style w:type="character" w:customStyle="1" w:styleId="FooterChar">
    <w:name w:val="Footer Char"/>
    <w:basedOn w:val="DefaultParagraphFont"/>
    <w:link w:val="Footer"/>
    <w:uiPriority w:val="99"/>
    <w:rsid w:val="005132C8"/>
    <w:rPr>
      <w:rFonts w:ascii="Calibri" w:hAnsi="Calibri" w:cs="Calibri"/>
      <w:color w:val="auto"/>
      <w:sz w:val="22"/>
      <w:szCs w:val="22"/>
      <w:lang w:eastAsia="en-CA"/>
    </w:rPr>
  </w:style>
  <w:style w:type="character" w:customStyle="1" w:styleId="Heading2Char">
    <w:name w:val="Heading 2 Char"/>
    <w:basedOn w:val="DefaultParagraphFont"/>
    <w:link w:val="Heading2"/>
    <w:uiPriority w:val="9"/>
    <w:rsid w:val="005132C8"/>
    <w:rPr>
      <w:rFonts w:asciiTheme="majorHAnsi" w:eastAsiaTheme="majorEastAsia" w:hAnsiTheme="majorHAnsi" w:cstheme="majorBidi"/>
      <w:color w:val="2F5496" w:themeColor="accent1" w:themeShade="BF"/>
      <w:sz w:val="26"/>
      <w:szCs w:val="26"/>
      <w:lang w:eastAsia="en-CA"/>
    </w:rPr>
  </w:style>
  <w:style w:type="table" w:styleId="GridTable5Dark-Accent3">
    <w:name w:val="Grid Table 5 Dark Accent 3"/>
    <w:basedOn w:val="TableNormal"/>
    <w:uiPriority w:val="50"/>
    <w:rsid w:val="005132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3-Accent3">
    <w:name w:val="Grid Table 3 Accent 3"/>
    <w:basedOn w:val="TableNormal"/>
    <w:uiPriority w:val="48"/>
    <w:rsid w:val="005132C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1Light-Accent3">
    <w:name w:val="Grid Table 1 Light Accent 3"/>
    <w:basedOn w:val="TableNormal"/>
    <w:uiPriority w:val="46"/>
    <w:rsid w:val="005132C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6Colorful-Accent3">
    <w:name w:val="Grid Table 6 Colorful Accent 3"/>
    <w:basedOn w:val="TableNormal"/>
    <w:uiPriority w:val="51"/>
    <w:rsid w:val="005954B5"/>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5">
    <w:name w:val="Grid Table 6 Colorful Accent 5"/>
    <w:basedOn w:val="TableNormal"/>
    <w:uiPriority w:val="51"/>
    <w:rsid w:val="005954B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ListParagraph">
    <w:name w:val="List Paragraph"/>
    <w:basedOn w:val="Normal"/>
    <w:uiPriority w:val="34"/>
    <w:qFormat/>
    <w:rsid w:val="00C86284"/>
    <w:pPr>
      <w:ind w:left="720"/>
      <w:contextualSpacing/>
    </w:pPr>
  </w:style>
  <w:style w:type="character" w:styleId="Hyperlink">
    <w:name w:val="Hyperlink"/>
    <w:basedOn w:val="DefaultParagraphFont"/>
    <w:uiPriority w:val="99"/>
    <w:unhideWhenUsed/>
    <w:rsid w:val="003D35B3"/>
    <w:rPr>
      <w:color w:val="0563C1" w:themeColor="hyperlink"/>
      <w:u w:val="single"/>
    </w:rPr>
  </w:style>
  <w:style w:type="character" w:styleId="UnresolvedMention">
    <w:name w:val="Unresolved Mention"/>
    <w:basedOn w:val="DefaultParagraphFont"/>
    <w:uiPriority w:val="99"/>
    <w:semiHidden/>
    <w:unhideWhenUsed/>
    <w:rsid w:val="003D35B3"/>
    <w:rPr>
      <w:color w:val="808080"/>
      <w:shd w:val="clear" w:color="auto" w:fill="E6E6E6"/>
    </w:rPr>
  </w:style>
  <w:style w:type="character" w:styleId="FollowedHyperlink">
    <w:name w:val="FollowedHyperlink"/>
    <w:basedOn w:val="DefaultParagraphFont"/>
    <w:uiPriority w:val="99"/>
    <w:semiHidden/>
    <w:unhideWhenUsed/>
    <w:rsid w:val="006101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361167">
      <w:bodyDiv w:val="1"/>
      <w:marLeft w:val="0"/>
      <w:marRight w:val="0"/>
      <w:marTop w:val="0"/>
      <w:marBottom w:val="0"/>
      <w:divBdr>
        <w:top w:val="none" w:sz="0" w:space="0" w:color="auto"/>
        <w:left w:val="none" w:sz="0" w:space="0" w:color="auto"/>
        <w:bottom w:val="none" w:sz="0" w:space="0" w:color="auto"/>
        <w:right w:val="none" w:sz="0" w:space="0" w:color="auto"/>
      </w:divBdr>
      <w:divsChild>
        <w:div w:id="624237670">
          <w:marLeft w:val="360"/>
          <w:marRight w:val="0"/>
          <w:marTop w:val="0"/>
          <w:marBottom w:val="0"/>
          <w:divBdr>
            <w:top w:val="none" w:sz="0" w:space="0" w:color="auto"/>
            <w:left w:val="none" w:sz="0" w:space="0" w:color="auto"/>
            <w:bottom w:val="none" w:sz="0" w:space="0" w:color="auto"/>
            <w:right w:val="none" w:sz="0" w:space="0" w:color="auto"/>
          </w:divBdr>
        </w:div>
        <w:div w:id="1627005909">
          <w:marLeft w:val="360"/>
          <w:marRight w:val="0"/>
          <w:marTop w:val="0"/>
          <w:marBottom w:val="0"/>
          <w:divBdr>
            <w:top w:val="none" w:sz="0" w:space="0" w:color="auto"/>
            <w:left w:val="none" w:sz="0" w:space="0" w:color="auto"/>
            <w:bottom w:val="none" w:sz="0" w:space="0" w:color="auto"/>
            <w:right w:val="none" w:sz="0" w:space="0" w:color="auto"/>
          </w:divBdr>
        </w:div>
      </w:divsChild>
    </w:div>
    <w:div w:id="2004620043">
      <w:bodyDiv w:val="1"/>
      <w:marLeft w:val="0"/>
      <w:marRight w:val="0"/>
      <w:marTop w:val="0"/>
      <w:marBottom w:val="0"/>
      <w:divBdr>
        <w:top w:val="none" w:sz="0" w:space="0" w:color="auto"/>
        <w:left w:val="none" w:sz="0" w:space="0" w:color="auto"/>
        <w:bottom w:val="none" w:sz="0" w:space="0" w:color="auto"/>
        <w:right w:val="none" w:sz="0" w:space="0" w:color="auto"/>
      </w:divBdr>
      <w:divsChild>
        <w:div w:id="1772125923">
          <w:marLeft w:val="547"/>
          <w:marRight w:val="0"/>
          <w:marTop w:val="0"/>
          <w:marBottom w:val="0"/>
          <w:divBdr>
            <w:top w:val="none" w:sz="0" w:space="0" w:color="auto"/>
            <w:left w:val="none" w:sz="0" w:space="0" w:color="auto"/>
            <w:bottom w:val="none" w:sz="0" w:space="0" w:color="auto"/>
            <w:right w:val="none" w:sz="0" w:space="0" w:color="auto"/>
          </w:divBdr>
        </w:div>
        <w:div w:id="393893081">
          <w:marLeft w:val="1267"/>
          <w:marRight w:val="0"/>
          <w:marTop w:val="0"/>
          <w:marBottom w:val="0"/>
          <w:divBdr>
            <w:top w:val="none" w:sz="0" w:space="0" w:color="auto"/>
            <w:left w:val="none" w:sz="0" w:space="0" w:color="auto"/>
            <w:bottom w:val="none" w:sz="0" w:space="0" w:color="auto"/>
            <w:right w:val="none" w:sz="0" w:space="0" w:color="auto"/>
          </w:divBdr>
        </w:div>
        <w:div w:id="12004594">
          <w:marLeft w:val="1267"/>
          <w:marRight w:val="0"/>
          <w:marTop w:val="0"/>
          <w:marBottom w:val="0"/>
          <w:divBdr>
            <w:top w:val="none" w:sz="0" w:space="0" w:color="auto"/>
            <w:left w:val="none" w:sz="0" w:space="0" w:color="auto"/>
            <w:bottom w:val="none" w:sz="0" w:space="0" w:color="auto"/>
            <w:right w:val="none" w:sz="0" w:space="0" w:color="auto"/>
          </w:divBdr>
        </w:div>
        <w:div w:id="1290555081">
          <w:marLeft w:val="1267"/>
          <w:marRight w:val="0"/>
          <w:marTop w:val="0"/>
          <w:marBottom w:val="0"/>
          <w:divBdr>
            <w:top w:val="none" w:sz="0" w:space="0" w:color="auto"/>
            <w:left w:val="none" w:sz="0" w:space="0" w:color="auto"/>
            <w:bottom w:val="none" w:sz="0" w:space="0" w:color="auto"/>
            <w:right w:val="none" w:sz="0" w:space="0" w:color="auto"/>
          </w:divBdr>
        </w:div>
        <w:div w:id="61755664">
          <w:marLeft w:val="547"/>
          <w:marRight w:val="0"/>
          <w:marTop w:val="0"/>
          <w:marBottom w:val="0"/>
          <w:divBdr>
            <w:top w:val="none" w:sz="0" w:space="0" w:color="auto"/>
            <w:left w:val="none" w:sz="0" w:space="0" w:color="auto"/>
            <w:bottom w:val="none" w:sz="0" w:space="0" w:color="auto"/>
            <w:right w:val="none" w:sz="0" w:space="0" w:color="auto"/>
          </w:divBdr>
        </w:div>
        <w:div w:id="1347753723">
          <w:marLeft w:val="1267"/>
          <w:marRight w:val="0"/>
          <w:marTop w:val="0"/>
          <w:marBottom w:val="0"/>
          <w:divBdr>
            <w:top w:val="none" w:sz="0" w:space="0" w:color="auto"/>
            <w:left w:val="none" w:sz="0" w:space="0" w:color="auto"/>
            <w:bottom w:val="none" w:sz="0" w:space="0" w:color="auto"/>
            <w:right w:val="none" w:sz="0" w:space="0" w:color="auto"/>
          </w:divBdr>
        </w:div>
        <w:div w:id="1890072695">
          <w:marLeft w:val="1267"/>
          <w:marRight w:val="0"/>
          <w:marTop w:val="0"/>
          <w:marBottom w:val="0"/>
          <w:divBdr>
            <w:top w:val="none" w:sz="0" w:space="0" w:color="auto"/>
            <w:left w:val="none" w:sz="0" w:space="0" w:color="auto"/>
            <w:bottom w:val="none" w:sz="0" w:space="0" w:color="auto"/>
            <w:right w:val="none" w:sz="0" w:space="0" w:color="auto"/>
          </w:divBdr>
        </w:div>
        <w:div w:id="1133671988">
          <w:marLeft w:val="1267"/>
          <w:marRight w:val="0"/>
          <w:marTop w:val="0"/>
          <w:marBottom w:val="0"/>
          <w:divBdr>
            <w:top w:val="none" w:sz="0" w:space="0" w:color="auto"/>
            <w:left w:val="none" w:sz="0" w:space="0" w:color="auto"/>
            <w:bottom w:val="none" w:sz="0" w:space="0" w:color="auto"/>
            <w:right w:val="none" w:sz="0" w:space="0" w:color="auto"/>
          </w:divBdr>
        </w:div>
        <w:div w:id="1564025729">
          <w:marLeft w:val="547"/>
          <w:marRight w:val="0"/>
          <w:marTop w:val="0"/>
          <w:marBottom w:val="0"/>
          <w:divBdr>
            <w:top w:val="none" w:sz="0" w:space="0" w:color="auto"/>
            <w:left w:val="none" w:sz="0" w:space="0" w:color="auto"/>
            <w:bottom w:val="none" w:sz="0" w:space="0" w:color="auto"/>
            <w:right w:val="none" w:sz="0" w:space="0" w:color="auto"/>
          </w:divBdr>
        </w:div>
        <w:div w:id="913861239">
          <w:marLeft w:val="1267"/>
          <w:marRight w:val="0"/>
          <w:marTop w:val="0"/>
          <w:marBottom w:val="0"/>
          <w:divBdr>
            <w:top w:val="none" w:sz="0" w:space="0" w:color="auto"/>
            <w:left w:val="none" w:sz="0" w:space="0" w:color="auto"/>
            <w:bottom w:val="none" w:sz="0" w:space="0" w:color="auto"/>
            <w:right w:val="none" w:sz="0" w:space="0" w:color="auto"/>
          </w:divBdr>
        </w:div>
        <w:div w:id="1020009786">
          <w:marLeft w:val="1267"/>
          <w:marRight w:val="0"/>
          <w:marTop w:val="0"/>
          <w:marBottom w:val="0"/>
          <w:divBdr>
            <w:top w:val="none" w:sz="0" w:space="0" w:color="auto"/>
            <w:left w:val="none" w:sz="0" w:space="0" w:color="auto"/>
            <w:bottom w:val="none" w:sz="0" w:space="0" w:color="auto"/>
            <w:right w:val="none" w:sz="0" w:space="0" w:color="auto"/>
          </w:divBdr>
        </w:div>
        <w:div w:id="798307517">
          <w:marLeft w:val="1267"/>
          <w:marRight w:val="0"/>
          <w:marTop w:val="0"/>
          <w:marBottom w:val="0"/>
          <w:divBdr>
            <w:top w:val="none" w:sz="0" w:space="0" w:color="auto"/>
            <w:left w:val="none" w:sz="0" w:space="0" w:color="auto"/>
            <w:bottom w:val="none" w:sz="0" w:space="0" w:color="auto"/>
            <w:right w:val="none" w:sz="0" w:space="0" w:color="auto"/>
          </w:divBdr>
        </w:div>
        <w:div w:id="728572573">
          <w:marLeft w:val="1267"/>
          <w:marRight w:val="0"/>
          <w:marTop w:val="0"/>
          <w:marBottom w:val="0"/>
          <w:divBdr>
            <w:top w:val="none" w:sz="0" w:space="0" w:color="auto"/>
            <w:left w:val="none" w:sz="0" w:space="0" w:color="auto"/>
            <w:bottom w:val="none" w:sz="0" w:space="0" w:color="auto"/>
            <w:right w:val="none" w:sz="0" w:space="0" w:color="auto"/>
          </w:divBdr>
        </w:div>
        <w:div w:id="1192568144">
          <w:marLeft w:val="547"/>
          <w:marRight w:val="0"/>
          <w:marTop w:val="0"/>
          <w:marBottom w:val="0"/>
          <w:divBdr>
            <w:top w:val="none" w:sz="0" w:space="0" w:color="auto"/>
            <w:left w:val="none" w:sz="0" w:space="0" w:color="auto"/>
            <w:bottom w:val="none" w:sz="0" w:space="0" w:color="auto"/>
            <w:right w:val="none" w:sz="0" w:space="0" w:color="auto"/>
          </w:divBdr>
        </w:div>
        <w:div w:id="10110683">
          <w:marLeft w:val="1267"/>
          <w:marRight w:val="0"/>
          <w:marTop w:val="0"/>
          <w:marBottom w:val="0"/>
          <w:divBdr>
            <w:top w:val="none" w:sz="0" w:space="0" w:color="auto"/>
            <w:left w:val="none" w:sz="0" w:space="0" w:color="auto"/>
            <w:bottom w:val="none" w:sz="0" w:space="0" w:color="auto"/>
            <w:right w:val="none" w:sz="0" w:space="0" w:color="auto"/>
          </w:divBdr>
        </w:div>
        <w:div w:id="2124837448">
          <w:marLeft w:val="1267"/>
          <w:marRight w:val="0"/>
          <w:marTop w:val="0"/>
          <w:marBottom w:val="0"/>
          <w:divBdr>
            <w:top w:val="none" w:sz="0" w:space="0" w:color="auto"/>
            <w:left w:val="none" w:sz="0" w:space="0" w:color="auto"/>
            <w:bottom w:val="none" w:sz="0" w:space="0" w:color="auto"/>
            <w:right w:val="none" w:sz="0" w:space="0" w:color="auto"/>
          </w:divBdr>
        </w:div>
        <w:div w:id="1543401877">
          <w:marLeft w:val="1267"/>
          <w:marRight w:val="0"/>
          <w:marTop w:val="0"/>
          <w:marBottom w:val="0"/>
          <w:divBdr>
            <w:top w:val="none" w:sz="0" w:space="0" w:color="auto"/>
            <w:left w:val="none" w:sz="0" w:space="0" w:color="auto"/>
            <w:bottom w:val="none" w:sz="0" w:space="0" w:color="auto"/>
            <w:right w:val="none" w:sz="0" w:space="0" w:color="auto"/>
          </w:divBdr>
        </w:div>
        <w:div w:id="917907189">
          <w:marLeft w:val="547"/>
          <w:marRight w:val="0"/>
          <w:marTop w:val="0"/>
          <w:marBottom w:val="0"/>
          <w:divBdr>
            <w:top w:val="none" w:sz="0" w:space="0" w:color="auto"/>
            <w:left w:val="none" w:sz="0" w:space="0" w:color="auto"/>
            <w:bottom w:val="none" w:sz="0" w:space="0" w:color="auto"/>
            <w:right w:val="none" w:sz="0" w:space="0" w:color="auto"/>
          </w:divBdr>
        </w:div>
        <w:div w:id="677345164">
          <w:marLeft w:val="1267"/>
          <w:marRight w:val="0"/>
          <w:marTop w:val="0"/>
          <w:marBottom w:val="0"/>
          <w:divBdr>
            <w:top w:val="none" w:sz="0" w:space="0" w:color="auto"/>
            <w:left w:val="none" w:sz="0" w:space="0" w:color="auto"/>
            <w:bottom w:val="none" w:sz="0" w:space="0" w:color="auto"/>
            <w:right w:val="none" w:sz="0" w:space="0" w:color="auto"/>
          </w:divBdr>
        </w:div>
        <w:div w:id="302003520">
          <w:marLeft w:val="1267"/>
          <w:marRight w:val="0"/>
          <w:marTop w:val="0"/>
          <w:marBottom w:val="0"/>
          <w:divBdr>
            <w:top w:val="none" w:sz="0" w:space="0" w:color="auto"/>
            <w:left w:val="none" w:sz="0" w:space="0" w:color="auto"/>
            <w:bottom w:val="none" w:sz="0" w:space="0" w:color="auto"/>
            <w:right w:val="none" w:sz="0" w:space="0" w:color="auto"/>
          </w:divBdr>
        </w:div>
        <w:div w:id="123623682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cdc.ca/health-professionals/professional-resources/health-equity-workshop"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www.bccdc.ca/health-professionals/professional-resources/health-equity-workshop"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ccdc.ca/pop-public-health/Documents/World%20cafe%20guide_2018-11-16.docx"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bccdc.ca/pop-public-health/Documents/scenario%20review%20exercise_2018-11-16.docx" TargetMode="External"/><Relationship Id="rId4" Type="http://schemas.openxmlformats.org/officeDocument/2006/relationships/webSettings" Target="webSettings.xml"/><Relationship Id="rId9" Type="http://schemas.openxmlformats.org/officeDocument/2006/relationships/hyperlink" Target="http://www.bccdc.ca/health-professionals/professional-resources/health-equity-environmental-healt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ustom Document" ma:contentTypeID="0x010100DA361FFC15F23349803C3C69CD01CD2300E157DFA19A3FFD4F80D0469ADC363A00" ma:contentTypeVersion="9" ma:contentTypeDescription="Create a new document." ma:contentTypeScope="" ma:versionID="99bebdff1f42fd1e658056fb63fa30bc">
  <xsd:schema xmlns:xsd="http://www.w3.org/2001/XMLSchema" xmlns:xs="http://www.w3.org/2001/XMLSchema" xmlns:p="http://schemas.microsoft.com/office/2006/metadata/properties" xmlns:ns2="2a1cf95e-a2cb-4d0f-9c16-7db7b13007cf" xmlns:ns3="4de64c37-ebdf-406a-9f1b-af099cf715f4" targetNamespace="http://schemas.microsoft.com/office/2006/metadata/properties" ma:root="true" ma:fieldsID="e36369f956aa94e82d4b5d374d1a892a" ns2:_="" ns3:_="">
    <xsd:import namespace="2a1cf95e-a2cb-4d0f-9c16-7db7b13007cf"/>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element ref="ns2:Hid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cf95e-a2cb-4d0f-9c16-7db7b13007cf"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default="" ma:fieldId="{d54dd449-c2c5-4af8-9444-c3906a20b699}" ma:taxonomyMulti="true" ma:sspId="e5481489-1c4e-4a78-9d25-61807e18e714" ma:termSetId="d951ee64-c3ba-4c08-a09c-902853831bd1"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cd7a44c3-8849-4997-b7c8-ecb7ba79295d}" ma:internalName="TaxCatchAll" ma:showField="CatchAllData" ma:web="2a1cf95e-a2cb-4d0f-9c16-7db7b13007c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d7a44c3-8849-4997-b7c8-ecb7ba79295d}" ma:internalName="TaxCatchAllLabel" ma:readOnly="true" ma:showField="CatchAllDataLabel" ma:web="2a1cf95e-a2cb-4d0f-9c16-7db7b13007cf">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fieldId="{405366df-ea71-4127-ab88-26af69afb524}" ma:taxonomyMulti="true" ma:sspId="e5481489-1c4e-4a78-9d25-61807e18e714" ma:termSetId="f367d6b2-406a-443d-b850-249d3ebc6bd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HideDocument" ma:index="20" nillable="true" ma:displayName="HideDocument" ma:default="0" ma:internalName="HideDocum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udience1 xmlns="4de64c37-ebdf-406a-9f1b-af099cf715f4"/>
    <k05366dfea714127ab8826af69afb524 xmlns="2a1cf95e-a2cb-4d0f-9c16-7db7b13007cf">
      <Terms xmlns="http://schemas.microsoft.com/office/infopath/2007/PartnerControls"/>
    </k05366dfea714127ab8826af69afb524>
    <TaxCatchAll xmlns="2a1cf95e-a2cb-4d0f-9c16-7db7b13007cf"/>
    <DocumentLanguage xmlns="4de64c37-ebdf-406a-9f1b-af099cf715f4" xsi:nil="true"/>
    <HideDocument xmlns="2a1cf95e-a2cb-4d0f-9c16-7db7b13007cf">false</HideDocument>
    <DocumentDescription xmlns="4de64c37-ebdf-406a-9f1b-af099cf715f4" xsi:nil="true"/>
    <d54dd449c2c54af89444c3906a20b699 xmlns="2a1cf95e-a2cb-4d0f-9c16-7db7b13007cf">
      <Terms xmlns="http://schemas.microsoft.com/office/infopath/2007/PartnerControls"/>
    </d54dd449c2c54af89444c3906a20b699>
    <_dlc_DocId xmlns="2a1cf95e-a2cb-4d0f-9c16-7db7b13007cf">BCCDC-1957235667-335</_dlc_DocId>
    <_dlc_DocIdUrl xmlns="2a1cf95e-a2cb-4d0f-9c16-7db7b13007cf">
      <Url>http://www.bccdc.ca/pop-public-health/_layouts/15/DocIdRedir.aspx?ID=BCCDC-1957235667-335</Url>
      <Description>BCCDC-1957235667-335</Description>
    </_dlc_DocIdUrl>
  </documentManagement>
</p:properties>
</file>

<file path=customXml/itemProps1.xml><?xml version="1.0" encoding="utf-8"?>
<ds:datastoreItem xmlns:ds="http://schemas.openxmlformats.org/officeDocument/2006/customXml" ds:itemID="{39323D6A-A03E-4506-B308-83FA0E89E6EC}"/>
</file>

<file path=customXml/itemProps2.xml><?xml version="1.0" encoding="utf-8"?>
<ds:datastoreItem xmlns:ds="http://schemas.openxmlformats.org/officeDocument/2006/customXml" ds:itemID="{A1A5D239-1A5F-4324-97AC-49A8A3634C2F}"/>
</file>

<file path=customXml/itemProps3.xml><?xml version="1.0" encoding="utf-8"?>
<ds:datastoreItem xmlns:ds="http://schemas.openxmlformats.org/officeDocument/2006/customXml" ds:itemID="{5CED9DE8-41BD-48EB-8EEB-BB02D4625E88}"/>
</file>

<file path=customXml/itemProps4.xml><?xml version="1.0" encoding="utf-8"?>
<ds:datastoreItem xmlns:ds="http://schemas.openxmlformats.org/officeDocument/2006/customXml" ds:itemID="{3A965BD9-0A67-4D05-8754-CCAFABF1FCD1}"/>
</file>

<file path=docProps/app.xml><?xml version="1.0" encoding="utf-8"?>
<Properties xmlns="http://schemas.openxmlformats.org/officeDocument/2006/extended-properties" xmlns:vt="http://schemas.openxmlformats.org/officeDocument/2006/docPropsVTypes">
  <Template>Normal.dotm</Template>
  <TotalTime>2</TotalTime>
  <Pages>3</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Rideout</dc:creator>
  <cp:keywords/>
  <dc:description/>
  <cp:lastModifiedBy>Karen Rideout</cp:lastModifiedBy>
  <cp:revision>3</cp:revision>
  <dcterms:created xsi:type="dcterms:W3CDTF">2018-11-19T22:24:00Z</dcterms:created>
  <dcterms:modified xsi:type="dcterms:W3CDTF">2018-11-19T22:26:00Z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0x010100DA361FFC15F23349803C3C69CD01CD2300E157DFA19A3FFD4F80D0469ADC363A00</vt:lpwstr>
  </property>
  <property fmtid="{D5CDD505-2E9C-101B-9397-08002B2CF9AE}" pid="3" name="_dlc_DocIdItemGuid">
    <vt:lpwstr>fc9bb355-777c-4dd5-a53a-7057768087d6</vt:lpwstr>
  </property>
</Properties>
</file>