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2B" w:rsidRPr="009C732B" w:rsidRDefault="009C732B" w:rsidP="009C732B">
      <w:pPr>
        <w:pStyle w:val="MainText"/>
        <w:spacing w:line="240" w:lineRule="auto"/>
        <w:rPr>
          <w:rFonts w:asciiTheme="minorHAnsi" w:hAnsiTheme="minorHAnsi"/>
          <w:b/>
          <w:sz w:val="30"/>
          <w:szCs w:val="30"/>
        </w:rPr>
      </w:pPr>
      <w:r w:rsidRPr="009C732B">
        <w:rPr>
          <w:rFonts w:asciiTheme="minorHAnsi" w:hAnsiTheme="minorHAnsi"/>
          <w:b/>
          <w:sz w:val="30"/>
          <w:szCs w:val="30"/>
        </w:rPr>
        <w:t xml:space="preserve">Final Criteria for </w:t>
      </w:r>
      <w:r w:rsidR="00DE414D">
        <w:rPr>
          <w:rFonts w:asciiTheme="minorHAnsi" w:hAnsiTheme="minorHAnsi"/>
          <w:b/>
          <w:sz w:val="30"/>
          <w:szCs w:val="30"/>
        </w:rPr>
        <w:t>Prioritizing</w:t>
      </w:r>
      <w:r w:rsidRPr="009C732B">
        <w:rPr>
          <w:rFonts w:asciiTheme="minorHAnsi" w:hAnsiTheme="minorHAnsi"/>
          <w:b/>
          <w:sz w:val="30"/>
          <w:szCs w:val="30"/>
        </w:rPr>
        <w:t xml:space="preserve"> Indicators</w:t>
      </w:r>
    </w:p>
    <w:p w:rsidR="009C732B" w:rsidRPr="009C732B" w:rsidRDefault="009C732B" w:rsidP="009C732B">
      <w:pPr>
        <w:pStyle w:val="MainText"/>
        <w:spacing w:line="240" w:lineRule="auto"/>
        <w:rPr>
          <w:rFonts w:asciiTheme="minorHAnsi" w:hAnsiTheme="minorHAnsi"/>
          <w:b/>
          <w:sz w:val="22"/>
          <w:szCs w:val="22"/>
        </w:rPr>
      </w:pPr>
    </w:p>
    <w:tbl>
      <w:tblPr>
        <w:tblW w:w="0" w:type="auto"/>
        <w:tblLook w:val="04A0"/>
      </w:tblPr>
      <w:tblGrid>
        <w:gridCol w:w="1951"/>
        <w:gridCol w:w="7625"/>
      </w:tblGrid>
      <w:tr w:rsidR="009C732B" w:rsidRPr="009C732B" w:rsidTr="00620AA8">
        <w:tc>
          <w:tcPr>
            <w:tcW w:w="1951" w:type="dxa"/>
            <w:tcBorders>
              <w:top w:val="single" w:sz="12" w:space="0" w:color="auto"/>
              <w:bottom w:val="nil"/>
            </w:tcBorders>
          </w:tcPr>
          <w:p w:rsidR="009C732B" w:rsidRPr="009C732B" w:rsidRDefault="009C732B" w:rsidP="009C732B">
            <w:pPr>
              <w:spacing w:after="0"/>
              <w:rPr>
                <w:rFonts w:asciiTheme="minorHAnsi" w:hAnsiTheme="minorHAnsi"/>
                <w:color w:val="000000"/>
                <w:szCs w:val="22"/>
              </w:rPr>
            </w:pPr>
            <w:r w:rsidRPr="009C732B">
              <w:rPr>
                <w:rFonts w:asciiTheme="minorHAnsi" w:hAnsiTheme="minorHAnsi"/>
                <w:color w:val="000000"/>
                <w:szCs w:val="22"/>
              </w:rPr>
              <w:t>Comparable</w:t>
            </w:r>
          </w:p>
        </w:tc>
        <w:tc>
          <w:tcPr>
            <w:tcW w:w="7625" w:type="dxa"/>
            <w:tcBorders>
              <w:top w:val="single" w:sz="12" w:space="0" w:color="auto"/>
              <w:bottom w:val="nil"/>
            </w:tcBorders>
          </w:tcPr>
          <w:p w:rsidR="009C732B" w:rsidRPr="009C732B" w:rsidRDefault="009C732B" w:rsidP="009C732B">
            <w:pPr>
              <w:pStyle w:val="ListParagraph"/>
              <w:numPr>
                <w:ilvl w:val="0"/>
                <w:numId w:val="5"/>
              </w:numPr>
              <w:spacing w:after="0"/>
              <w:rPr>
                <w:rFonts w:asciiTheme="minorHAnsi" w:hAnsiTheme="minorHAnsi"/>
                <w:b/>
                <w:i/>
                <w:szCs w:val="22"/>
              </w:rPr>
            </w:pPr>
            <w:r w:rsidRPr="009C732B">
              <w:rPr>
                <w:rFonts w:asciiTheme="minorHAnsi" w:hAnsiTheme="minorHAnsi"/>
                <w:i/>
                <w:szCs w:val="22"/>
              </w:rPr>
              <w:t>There are sufficient numbers for stable comparisons of occurrence across population sub-groups, jurisdictions or social strata.</w:t>
            </w:r>
          </w:p>
        </w:tc>
      </w:tr>
      <w:tr w:rsidR="009C732B" w:rsidRPr="009C732B" w:rsidTr="00620AA8">
        <w:tc>
          <w:tcPr>
            <w:tcW w:w="1951" w:type="dxa"/>
            <w:tcBorders>
              <w:top w:val="nil"/>
            </w:tcBorders>
          </w:tcPr>
          <w:p w:rsidR="009C732B" w:rsidRPr="009C732B" w:rsidRDefault="009C732B" w:rsidP="009C732B">
            <w:pPr>
              <w:spacing w:after="0"/>
              <w:rPr>
                <w:rFonts w:asciiTheme="minorHAnsi" w:hAnsiTheme="minorHAnsi"/>
                <w:b/>
                <w:bCs/>
                <w:color w:val="000000"/>
                <w:szCs w:val="22"/>
              </w:rPr>
            </w:pPr>
            <w:r w:rsidRPr="009C732B">
              <w:rPr>
                <w:rFonts w:asciiTheme="minorHAnsi" w:hAnsiTheme="minorHAnsi"/>
                <w:color w:val="000000"/>
                <w:szCs w:val="22"/>
              </w:rPr>
              <w:t>Actionable</w:t>
            </w:r>
          </w:p>
        </w:tc>
        <w:tc>
          <w:tcPr>
            <w:tcW w:w="7625" w:type="dxa"/>
            <w:tcBorders>
              <w:top w:val="nil"/>
            </w:tcBorders>
          </w:tcPr>
          <w:p w:rsidR="009C732B" w:rsidRPr="009C732B" w:rsidRDefault="009C732B" w:rsidP="009C732B">
            <w:pPr>
              <w:pStyle w:val="ListParagraph"/>
              <w:numPr>
                <w:ilvl w:val="0"/>
                <w:numId w:val="8"/>
              </w:numPr>
              <w:spacing w:after="0"/>
              <w:ind w:left="317" w:hanging="317"/>
              <w:rPr>
                <w:rFonts w:asciiTheme="minorHAnsi" w:hAnsiTheme="minorHAnsi"/>
                <w:i/>
                <w:szCs w:val="22"/>
              </w:rPr>
            </w:pPr>
            <w:r w:rsidRPr="009C732B">
              <w:rPr>
                <w:rFonts w:asciiTheme="minorHAnsi" w:hAnsiTheme="minorHAnsi"/>
                <w:i/>
                <w:szCs w:val="22"/>
              </w:rPr>
              <w:t>It measures a health issue that is preventable.</w:t>
            </w:r>
          </w:p>
          <w:p w:rsidR="009C732B" w:rsidRPr="009C732B" w:rsidRDefault="009C732B" w:rsidP="009C732B">
            <w:pPr>
              <w:pStyle w:val="ListParagraph"/>
              <w:numPr>
                <w:ilvl w:val="0"/>
                <w:numId w:val="8"/>
              </w:numPr>
              <w:spacing w:after="0"/>
              <w:ind w:left="317" w:hanging="317"/>
              <w:rPr>
                <w:rFonts w:asciiTheme="minorHAnsi" w:hAnsiTheme="minorHAnsi"/>
                <w:i/>
                <w:szCs w:val="22"/>
              </w:rPr>
            </w:pPr>
            <w:r w:rsidRPr="009C732B">
              <w:rPr>
                <w:rFonts w:asciiTheme="minorHAnsi" w:hAnsiTheme="minorHAnsi"/>
                <w:i/>
                <w:szCs w:val="22"/>
              </w:rPr>
              <w:t>It is amenable to change through policy, programs and/or services.</w:t>
            </w:r>
          </w:p>
        </w:tc>
      </w:tr>
      <w:tr w:rsidR="009C732B" w:rsidRPr="009C732B" w:rsidTr="00620AA8">
        <w:tc>
          <w:tcPr>
            <w:tcW w:w="1951" w:type="dxa"/>
          </w:tcPr>
          <w:p w:rsidR="009C732B" w:rsidRPr="009C732B" w:rsidRDefault="009C732B" w:rsidP="009C732B">
            <w:pPr>
              <w:spacing w:after="0"/>
              <w:rPr>
                <w:rFonts w:asciiTheme="minorHAnsi" w:hAnsiTheme="minorHAnsi"/>
                <w:b/>
                <w:bCs/>
                <w:color w:val="000000"/>
                <w:szCs w:val="22"/>
              </w:rPr>
            </w:pPr>
            <w:r w:rsidRPr="009C732B">
              <w:rPr>
                <w:rFonts w:asciiTheme="minorHAnsi" w:hAnsiTheme="minorHAnsi"/>
                <w:color w:val="000000"/>
                <w:szCs w:val="22"/>
              </w:rPr>
              <w:t>Relevant</w:t>
            </w:r>
          </w:p>
        </w:tc>
        <w:tc>
          <w:tcPr>
            <w:tcW w:w="7625" w:type="dxa"/>
          </w:tcPr>
          <w:p w:rsidR="009C732B" w:rsidRPr="009C732B" w:rsidRDefault="009C732B" w:rsidP="009C732B">
            <w:pPr>
              <w:pStyle w:val="ListParagraph"/>
              <w:numPr>
                <w:ilvl w:val="0"/>
                <w:numId w:val="2"/>
              </w:numPr>
              <w:spacing w:after="0"/>
              <w:rPr>
                <w:rFonts w:asciiTheme="minorHAnsi" w:hAnsiTheme="minorHAnsi"/>
                <w:i/>
                <w:szCs w:val="22"/>
              </w:rPr>
            </w:pPr>
            <w:r w:rsidRPr="009C732B">
              <w:rPr>
                <w:rFonts w:asciiTheme="minorHAnsi" w:hAnsiTheme="minorHAnsi"/>
                <w:i/>
                <w:szCs w:val="22"/>
              </w:rPr>
              <w:t>It is the most appropriate measurement for the outcome envisioned.</w:t>
            </w:r>
          </w:p>
          <w:p w:rsidR="009C732B" w:rsidRPr="009C732B" w:rsidRDefault="009C732B" w:rsidP="009C732B">
            <w:pPr>
              <w:pStyle w:val="ListParagraph"/>
              <w:numPr>
                <w:ilvl w:val="0"/>
                <w:numId w:val="2"/>
              </w:numPr>
              <w:spacing w:after="0"/>
              <w:rPr>
                <w:rFonts w:asciiTheme="minorHAnsi" w:hAnsiTheme="minorHAnsi"/>
                <w:i/>
                <w:szCs w:val="22"/>
              </w:rPr>
            </w:pPr>
            <w:r w:rsidRPr="009C732B">
              <w:rPr>
                <w:rFonts w:asciiTheme="minorHAnsi" w:hAnsiTheme="minorHAnsi"/>
                <w:i/>
                <w:szCs w:val="22"/>
              </w:rPr>
              <w:t>It is based on an underlying conceptual framework.</w:t>
            </w:r>
          </w:p>
          <w:p w:rsidR="009C732B" w:rsidRPr="009C732B" w:rsidRDefault="009C732B" w:rsidP="009C732B">
            <w:pPr>
              <w:pStyle w:val="ListParagraph"/>
              <w:numPr>
                <w:ilvl w:val="0"/>
                <w:numId w:val="2"/>
              </w:numPr>
              <w:spacing w:after="0"/>
              <w:rPr>
                <w:rFonts w:asciiTheme="minorHAnsi" w:hAnsiTheme="minorHAnsi"/>
                <w:i/>
                <w:szCs w:val="22"/>
              </w:rPr>
            </w:pPr>
            <w:r w:rsidRPr="009C732B">
              <w:rPr>
                <w:rFonts w:asciiTheme="minorHAnsi" w:hAnsiTheme="minorHAnsi"/>
                <w:i/>
                <w:szCs w:val="22"/>
              </w:rPr>
              <w:t>It is linked to access to health care, health outcomes, or performance measures for which a specific organization is accountable.</w:t>
            </w:r>
          </w:p>
          <w:p w:rsidR="009C732B" w:rsidRPr="009C732B" w:rsidRDefault="009C732B" w:rsidP="009C732B">
            <w:pPr>
              <w:pStyle w:val="ListParagraph"/>
              <w:numPr>
                <w:ilvl w:val="0"/>
                <w:numId w:val="2"/>
              </w:numPr>
              <w:spacing w:after="0"/>
              <w:rPr>
                <w:rFonts w:asciiTheme="minorHAnsi" w:hAnsiTheme="minorHAnsi"/>
                <w:i/>
                <w:szCs w:val="22"/>
              </w:rPr>
            </w:pPr>
            <w:r w:rsidRPr="009C732B">
              <w:rPr>
                <w:rFonts w:asciiTheme="minorHAnsi" w:hAnsiTheme="minorHAnsi"/>
                <w:i/>
                <w:szCs w:val="22"/>
              </w:rPr>
              <w:t>It reflects the Province and/or Health Authority’s strategic priorities and mandate.</w:t>
            </w:r>
          </w:p>
        </w:tc>
      </w:tr>
      <w:tr w:rsidR="009C732B" w:rsidRPr="009C732B" w:rsidTr="00620AA8">
        <w:tc>
          <w:tcPr>
            <w:tcW w:w="1951" w:type="dxa"/>
          </w:tcPr>
          <w:p w:rsidR="009C732B" w:rsidRPr="009C732B" w:rsidRDefault="009C732B" w:rsidP="009C732B">
            <w:pPr>
              <w:spacing w:after="0"/>
              <w:rPr>
                <w:rFonts w:asciiTheme="minorHAnsi" w:hAnsiTheme="minorHAnsi"/>
                <w:b/>
                <w:bCs/>
                <w:color w:val="000000"/>
                <w:szCs w:val="22"/>
              </w:rPr>
            </w:pPr>
            <w:r w:rsidRPr="009C732B">
              <w:rPr>
                <w:rFonts w:asciiTheme="minorHAnsi" w:hAnsiTheme="minorHAnsi"/>
                <w:color w:val="000000"/>
                <w:szCs w:val="22"/>
              </w:rPr>
              <w:t>Based on Scientific Criteria (Accurate, Valid, Reliable)</w:t>
            </w:r>
            <w:r w:rsidRPr="009C732B">
              <w:rPr>
                <w:rFonts w:asciiTheme="minorHAnsi" w:hAnsiTheme="minorHAnsi"/>
                <w:b/>
                <w:bCs/>
                <w:color w:val="000000"/>
                <w:szCs w:val="22"/>
              </w:rPr>
              <w:t xml:space="preserve"> </w:t>
            </w:r>
          </w:p>
        </w:tc>
        <w:tc>
          <w:tcPr>
            <w:tcW w:w="7625" w:type="dxa"/>
          </w:tcPr>
          <w:p w:rsidR="009C732B" w:rsidRPr="009C732B" w:rsidRDefault="009C732B" w:rsidP="009C732B">
            <w:pPr>
              <w:pStyle w:val="ListParagraph"/>
              <w:numPr>
                <w:ilvl w:val="0"/>
                <w:numId w:val="3"/>
              </w:numPr>
              <w:spacing w:after="0"/>
              <w:rPr>
                <w:rFonts w:asciiTheme="minorHAnsi" w:hAnsiTheme="minorHAnsi"/>
                <w:i/>
                <w:szCs w:val="22"/>
              </w:rPr>
            </w:pPr>
            <w:r w:rsidRPr="009C732B">
              <w:rPr>
                <w:rFonts w:asciiTheme="minorHAnsi" w:hAnsiTheme="minorHAnsi"/>
                <w:i/>
                <w:szCs w:val="22"/>
              </w:rPr>
              <w:t>There is significant precision in the measurement.</w:t>
            </w:r>
          </w:p>
          <w:p w:rsidR="009C732B" w:rsidRPr="009C732B" w:rsidRDefault="009C732B" w:rsidP="009C732B">
            <w:pPr>
              <w:pStyle w:val="ListParagraph"/>
              <w:numPr>
                <w:ilvl w:val="0"/>
                <w:numId w:val="3"/>
              </w:numPr>
              <w:spacing w:after="0"/>
              <w:rPr>
                <w:rFonts w:asciiTheme="minorHAnsi" w:hAnsiTheme="minorHAnsi"/>
                <w:i/>
                <w:szCs w:val="22"/>
              </w:rPr>
            </w:pPr>
            <w:r w:rsidRPr="009C732B">
              <w:rPr>
                <w:rFonts w:asciiTheme="minorHAnsi" w:hAnsiTheme="minorHAnsi"/>
                <w:i/>
                <w:szCs w:val="22"/>
              </w:rPr>
              <w:t>It is an objective statistical measure gathered through sound research techniques (valid).</w:t>
            </w:r>
          </w:p>
          <w:p w:rsidR="009C732B" w:rsidRPr="009C732B" w:rsidRDefault="009C732B" w:rsidP="009C732B">
            <w:pPr>
              <w:pStyle w:val="ListParagraph"/>
              <w:numPr>
                <w:ilvl w:val="0"/>
                <w:numId w:val="2"/>
              </w:numPr>
              <w:spacing w:after="0"/>
              <w:rPr>
                <w:rFonts w:asciiTheme="minorHAnsi" w:hAnsiTheme="minorHAnsi"/>
                <w:i/>
                <w:szCs w:val="22"/>
              </w:rPr>
            </w:pPr>
            <w:r w:rsidRPr="009C732B">
              <w:rPr>
                <w:rFonts w:asciiTheme="minorHAnsi" w:hAnsiTheme="minorHAnsi"/>
                <w:i/>
                <w:szCs w:val="22"/>
              </w:rPr>
              <w:t>There is evidence for its relationship with inequities in health.</w:t>
            </w:r>
          </w:p>
          <w:p w:rsidR="009C732B" w:rsidRPr="009C732B" w:rsidRDefault="009C732B" w:rsidP="009C732B">
            <w:pPr>
              <w:pStyle w:val="ListParagraph"/>
              <w:numPr>
                <w:ilvl w:val="0"/>
                <w:numId w:val="3"/>
              </w:numPr>
              <w:spacing w:after="0"/>
              <w:rPr>
                <w:rFonts w:asciiTheme="minorHAnsi" w:hAnsiTheme="minorHAnsi"/>
                <w:i/>
                <w:szCs w:val="22"/>
              </w:rPr>
            </w:pPr>
            <w:r w:rsidRPr="009C732B">
              <w:rPr>
                <w:rFonts w:asciiTheme="minorHAnsi" w:hAnsiTheme="minorHAnsi"/>
                <w:i/>
                <w:szCs w:val="22"/>
              </w:rPr>
              <w:t>It has been tested and validated to measure what it is intended to measure.</w:t>
            </w:r>
          </w:p>
          <w:p w:rsidR="009C732B" w:rsidRPr="009C732B" w:rsidRDefault="009C732B" w:rsidP="009C732B">
            <w:pPr>
              <w:pStyle w:val="ListParagraph"/>
              <w:numPr>
                <w:ilvl w:val="0"/>
                <w:numId w:val="3"/>
              </w:numPr>
              <w:spacing w:after="0"/>
              <w:rPr>
                <w:rFonts w:asciiTheme="minorHAnsi" w:hAnsiTheme="minorHAnsi"/>
                <w:i/>
                <w:szCs w:val="22"/>
              </w:rPr>
            </w:pPr>
            <w:r w:rsidRPr="009C732B">
              <w:rPr>
                <w:rFonts w:asciiTheme="minorHAnsi" w:hAnsiTheme="minorHAnsi"/>
                <w:i/>
                <w:szCs w:val="22"/>
              </w:rPr>
              <w:t>It avoids “reverse causation” resulting from health conditions such as those that cause lengthy periods of disability prior to hospitalization or subsequent death.</w:t>
            </w:r>
          </w:p>
          <w:p w:rsidR="009C732B" w:rsidRPr="009C732B" w:rsidRDefault="009C732B" w:rsidP="009C732B">
            <w:pPr>
              <w:pStyle w:val="ListParagraph"/>
              <w:numPr>
                <w:ilvl w:val="0"/>
                <w:numId w:val="3"/>
              </w:numPr>
              <w:spacing w:after="0"/>
              <w:rPr>
                <w:rFonts w:asciiTheme="minorHAnsi" w:hAnsiTheme="minorHAnsi"/>
                <w:i/>
                <w:szCs w:val="22"/>
              </w:rPr>
            </w:pPr>
            <w:r w:rsidRPr="009C732B">
              <w:rPr>
                <w:rFonts w:asciiTheme="minorHAnsi" w:hAnsiTheme="minorHAnsi"/>
                <w:i/>
                <w:szCs w:val="22"/>
              </w:rPr>
              <w:t>It provides consistent measures of both the general population, and members of diverse populations over time (reliable).</w:t>
            </w:r>
          </w:p>
        </w:tc>
      </w:tr>
      <w:tr w:rsidR="009C732B" w:rsidRPr="009C732B" w:rsidTr="00620AA8">
        <w:tc>
          <w:tcPr>
            <w:tcW w:w="1951" w:type="dxa"/>
          </w:tcPr>
          <w:p w:rsidR="009C732B" w:rsidRPr="009C732B" w:rsidRDefault="009C732B" w:rsidP="009C732B">
            <w:pPr>
              <w:spacing w:after="0"/>
              <w:rPr>
                <w:rFonts w:asciiTheme="minorHAnsi" w:hAnsiTheme="minorHAnsi"/>
                <w:color w:val="000000"/>
                <w:szCs w:val="22"/>
              </w:rPr>
            </w:pPr>
            <w:r w:rsidRPr="009C732B">
              <w:rPr>
                <w:rFonts w:asciiTheme="minorHAnsi" w:hAnsiTheme="minorHAnsi"/>
                <w:color w:val="000000"/>
                <w:szCs w:val="22"/>
              </w:rPr>
              <w:t>Ethical</w:t>
            </w:r>
          </w:p>
        </w:tc>
        <w:tc>
          <w:tcPr>
            <w:tcW w:w="7625" w:type="dxa"/>
          </w:tcPr>
          <w:p w:rsidR="009C732B" w:rsidRPr="009C732B" w:rsidRDefault="009C732B" w:rsidP="009C732B">
            <w:pPr>
              <w:pStyle w:val="ListParagraph"/>
              <w:numPr>
                <w:ilvl w:val="0"/>
                <w:numId w:val="4"/>
              </w:numPr>
              <w:spacing w:after="0"/>
              <w:rPr>
                <w:rFonts w:asciiTheme="minorHAnsi" w:hAnsiTheme="minorHAnsi"/>
                <w:i/>
                <w:szCs w:val="22"/>
              </w:rPr>
            </w:pPr>
            <w:r w:rsidRPr="009C732B">
              <w:rPr>
                <w:rFonts w:asciiTheme="minorHAnsi" w:hAnsiTheme="minorHAnsi"/>
                <w:i/>
                <w:szCs w:val="22"/>
              </w:rPr>
              <w:t>There are no unintended or negative consequences of the data.</w:t>
            </w:r>
          </w:p>
        </w:tc>
      </w:tr>
      <w:tr w:rsidR="009C732B" w:rsidRPr="009C732B" w:rsidTr="00620AA8">
        <w:tc>
          <w:tcPr>
            <w:tcW w:w="1951" w:type="dxa"/>
            <w:tcBorders>
              <w:bottom w:val="nil"/>
            </w:tcBorders>
          </w:tcPr>
          <w:p w:rsidR="009C732B" w:rsidRPr="009C732B" w:rsidRDefault="009C732B" w:rsidP="009C732B">
            <w:pPr>
              <w:spacing w:after="0"/>
              <w:rPr>
                <w:rFonts w:asciiTheme="minorHAnsi" w:hAnsiTheme="minorHAnsi"/>
                <w:b/>
                <w:bCs/>
                <w:color w:val="000000"/>
                <w:szCs w:val="22"/>
              </w:rPr>
            </w:pPr>
            <w:r w:rsidRPr="009C732B">
              <w:rPr>
                <w:rFonts w:asciiTheme="minorHAnsi" w:hAnsiTheme="minorHAnsi"/>
                <w:color w:val="000000"/>
                <w:szCs w:val="22"/>
              </w:rPr>
              <w:t>Sustainable</w:t>
            </w:r>
          </w:p>
          <w:p w:rsidR="009C732B" w:rsidRPr="009C732B" w:rsidRDefault="009C732B" w:rsidP="009C732B">
            <w:pPr>
              <w:spacing w:after="0"/>
              <w:rPr>
                <w:rFonts w:asciiTheme="minorHAnsi" w:hAnsiTheme="minorHAnsi"/>
                <w:b/>
                <w:bCs/>
                <w:color w:val="000000"/>
                <w:szCs w:val="22"/>
              </w:rPr>
            </w:pPr>
          </w:p>
        </w:tc>
        <w:tc>
          <w:tcPr>
            <w:tcW w:w="7625" w:type="dxa"/>
            <w:tcBorders>
              <w:bottom w:val="nil"/>
            </w:tcBorders>
          </w:tcPr>
          <w:p w:rsidR="009C732B" w:rsidRPr="009C732B" w:rsidRDefault="009C732B" w:rsidP="009C732B">
            <w:pPr>
              <w:pStyle w:val="ListParagraph"/>
              <w:numPr>
                <w:ilvl w:val="0"/>
                <w:numId w:val="6"/>
              </w:numPr>
              <w:spacing w:after="0"/>
              <w:rPr>
                <w:rFonts w:asciiTheme="minorHAnsi" w:hAnsiTheme="minorHAnsi"/>
                <w:i/>
                <w:szCs w:val="22"/>
              </w:rPr>
            </w:pPr>
            <w:r w:rsidRPr="009C732B">
              <w:rPr>
                <w:rFonts w:asciiTheme="minorHAnsi" w:hAnsiTheme="minorHAnsi"/>
                <w:i/>
                <w:szCs w:val="22"/>
              </w:rPr>
              <w:t>The data can be collected, analyzed, presented and interpreted by existing processes.</w:t>
            </w:r>
          </w:p>
          <w:p w:rsidR="009C732B" w:rsidRPr="009C732B" w:rsidRDefault="009C732B" w:rsidP="009C732B">
            <w:pPr>
              <w:pStyle w:val="ListParagraph"/>
              <w:numPr>
                <w:ilvl w:val="0"/>
                <w:numId w:val="6"/>
              </w:numPr>
              <w:spacing w:after="0"/>
              <w:rPr>
                <w:rFonts w:asciiTheme="minorHAnsi" w:hAnsiTheme="minorHAnsi"/>
                <w:i/>
                <w:szCs w:val="22"/>
              </w:rPr>
            </w:pPr>
            <w:r w:rsidRPr="009C732B">
              <w:rPr>
                <w:rFonts w:asciiTheme="minorHAnsi" w:hAnsiTheme="minorHAnsi"/>
                <w:i/>
                <w:szCs w:val="22"/>
              </w:rPr>
              <w:t>The data collection, analysis, presentation &amp; interpretation can be done on an ongoing basis.</w:t>
            </w:r>
          </w:p>
        </w:tc>
      </w:tr>
      <w:tr w:rsidR="009C732B" w:rsidRPr="009C732B" w:rsidTr="00620AA8">
        <w:trPr>
          <w:trHeight w:val="851"/>
        </w:trPr>
        <w:tc>
          <w:tcPr>
            <w:tcW w:w="1951" w:type="dxa"/>
            <w:tcBorders>
              <w:top w:val="nil"/>
              <w:bottom w:val="single" w:sz="12" w:space="0" w:color="auto"/>
            </w:tcBorders>
          </w:tcPr>
          <w:p w:rsidR="009C732B" w:rsidRPr="009C732B" w:rsidRDefault="009C732B" w:rsidP="009C732B">
            <w:pPr>
              <w:spacing w:after="0"/>
              <w:rPr>
                <w:rFonts w:asciiTheme="minorHAnsi" w:hAnsiTheme="minorHAnsi"/>
                <w:b/>
                <w:bCs/>
                <w:color w:val="000000"/>
                <w:szCs w:val="22"/>
              </w:rPr>
            </w:pPr>
            <w:r w:rsidRPr="009C732B">
              <w:rPr>
                <w:rFonts w:asciiTheme="minorHAnsi" w:hAnsiTheme="minorHAnsi"/>
                <w:color w:val="000000"/>
                <w:szCs w:val="22"/>
              </w:rPr>
              <w:t>Understandable</w:t>
            </w:r>
          </w:p>
          <w:p w:rsidR="009C732B" w:rsidRPr="009C732B" w:rsidRDefault="009C732B" w:rsidP="009C732B">
            <w:pPr>
              <w:spacing w:after="0"/>
              <w:rPr>
                <w:rFonts w:asciiTheme="minorHAnsi" w:hAnsiTheme="minorHAnsi"/>
                <w:b/>
                <w:bCs/>
                <w:color w:val="000000"/>
                <w:szCs w:val="22"/>
              </w:rPr>
            </w:pPr>
          </w:p>
        </w:tc>
        <w:tc>
          <w:tcPr>
            <w:tcW w:w="7625" w:type="dxa"/>
            <w:tcBorders>
              <w:top w:val="nil"/>
              <w:bottom w:val="single" w:sz="12" w:space="0" w:color="auto"/>
            </w:tcBorders>
          </w:tcPr>
          <w:p w:rsidR="009C732B" w:rsidRPr="009C732B" w:rsidRDefault="009C732B" w:rsidP="009C732B">
            <w:pPr>
              <w:pStyle w:val="ListParagraph"/>
              <w:numPr>
                <w:ilvl w:val="0"/>
                <w:numId w:val="4"/>
              </w:numPr>
              <w:spacing w:after="0"/>
              <w:rPr>
                <w:rFonts w:asciiTheme="minorHAnsi" w:hAnsiTheme="minorHAnsi"/>
                <w:i/>
                <w:szCs w:val="22"/>
              </w:rPr>
            </w:pPr>
            <w:r w:rsidRPr="009C732B">
              <w:rPr>
                <w:rFonts w:asciiTheme="minorHAnsi" w:hAnsiTheme="minorHAnsi"/>
                <w:i/>
                <w:szCs w:val="22"/>
              </w:rPr>
              <w:t>It has a clear and accepted interpretation that can be understood by decision-makers, the media, advocacy groups and the general public alike</w:t>
            </w:r>
          </w:p>
          <w:p w:rsidR="009C732B" w:rsidRPr="009C732B" w:rsidRDefault="009C732B" w:rsidP="009C732B">
            <w:pPr>
              <w:spacing w:after="0"/>
              <w:rPr>
                <w:rFonts w:asciiTheme="minorHAnsi" w:hAnsiTheme="minorHAnsi"/>
                <w:i/>
                <w:color w:val="000000"/>
                <w:szCs w:val="22"/>
              </w:rPr>
            </w:pPr>
          </w:p>
        </w:tc>
      </w:tr>
      <w:tr w:rsidR="009C732B" w:rsidRPr="009C732B" w:rsidTr="00620AA8">
        <w:tc>
          <w:tcPr>
            <w:tcW w:w="1951" w:type="dxa"/>
            <w:tcBorders>
              <w:top w:val="single" w:sz="12" w:space="0" w:color="auto"/>
              <w:left w:val="single" w:sz="12" w:space="0" w:color="auto"/>
              <w:bottom w:val="single" w:sz="12" w:space="0" w:color="auto"/>
            </w:tcBorders>
          </w:tcPr>
          <w:p w:rsidR="009C732B" w:rsidRPr="009C732B" w:rsidRDefault="009C732B" w:rsidP="009C732B">
            <w:pPr>
              <w:spacing w:after="0"/>
              <w:rPr>
                <w:rFonts w:asciiTheme="minorHAnsi" w:hAnsiTheme="minorHAnsi"/>
                <w:color w:val="000000"/>
                <w:szCs w:val="22"/>
              </w:rPr>
            </w:pPr>
            <w:r w:rsidRPr="009C732B">
              <w:rPr>
                <w:rFonts w:asciiTheme="minorHAnsi" w:hAnsiTheme="minorHAnsi"/>
                <w:color w:val="000000"/>
                <w:szCs w:val="22"/>
              </w:rPr>
              <w:t>Available</w:t>
            </w:r>
          </w:p>
        </w:tc>
        <w:tc>
          <w:tcPr>
            <w:tcW w:w="7625" w:type="dxa"/>
            <w:tcBorders>
              <w:top w:val="single" w:sz="12" w:space="0" w:color="auto"/>
              <w:bottom w:val="single" w:sz="12" w:space="0" w:color="auto"/>
              <w:right w:val="single" w:sz="12" w:space="0" w:color="auto"/>
            </w:tcBorders>
          </w:tcPr>
          <w:p w:rsidR="009C732B" w:rsidRPr="009C732B" w:rsidRDefault="009C732B" w:rsidP="009C732B">
            <w:pPr>
              <w:pStyle w:val="ListParagraph"/>
              <w:numPr>
                <w:ilvl w:val="0"/>
                <w:numId w:val="7"/>
              </w:numPr>
              <w:spacing w:after="0"/>
              <w:rPr>
                <w:rFonts w:asciiTheme="minorHAnsi" w:hAnsiTheme="minorHAnsi"/>
                <w:b/>
                <w:i/>
                <w:szCs w:val="22"/>
              </w:rPr>
            </w:pPr>
            <w:r w:rsidRPr="009C732B">
              <w:rPr>
                <w:rFonts w:asciiTheme="minorHAnsi" w:hAnsiTheme="minorHAnsi"/>
                <w:i/>
                <w:szCs w:val="22"/>
              </w:rPr>
              <w:t>It is measurable with meaningful, quality, and population-wide dat</w:t>
            </w:r>
            <w:r>
              <w:rPr>
                <w:rFonts w:asciiTheme="minorHAnsi" w:hAnsiTheme="minorHAnsi"/>
                <w:i/>
                <w:szCs w:val="22"/>
              </w:rPr>
              <w:t>a</w:t>
            </w:r>
            <w:r w:rsidRPr="009C732B">
              <w:rPr>
                <w:rFonts w:asciiTheme="minorHAnsi" w:hAnsiTheme="minorHAnsi"/>
                <w:i/>
                <w:szCs w:val="22"/>
              </w:rPr>
              <w:t>, which are:</w:t>
            </w:r>
          </w:p>
          <w:p w:rsidR="009C732B" w:rsidRPr="009C732B" w:rsidRDefault="009C732B" w:rsidP="009C732B">
            <w:pPr>
              <w:pStyle w:val="ListParagraph"/>
              <w:numPr>
                <w:ilvl w:val="0"/>
                <w:numId w:val="9"/>
              </w:numPr>
              <w:spacing w:after="0"/>
              <w:rPr>
                <w:rFonts w:asciiTheme="minorHAnsi" w:hAnsiTheme="minorHAnsi"/>
                <w:b/>
                <w:i/>
                <w:szCs w:val="22"/>
              </w:rPr>
            </w:pPr>
            <w:r w:rsidRPr="009C732B">
              <w:rPr>
                <w:rFonts w:asciiTheme="minorHAnsi" w:hAnsiTheme="minorHAnsi"/>
                <w:i/>
                <w:szCs w:val="22"/>
              </w:rPr>
              <w:t>Available at least at the provincial level.</w:t>
            </w:r>
          </w:p>
          <w:p w:rsidR="009C732B" w:rsidRPr="009C732B" w:rsidRDefault="009C732B" w:rsidP="009C732B">
            <w:pPr>
              <w:pStyle w:val="ListParagraph"/>
              <w:numPr>
                <w:ilvl w:val="0"/>
                <w:numId w:val="9"/>
              </w:numPr>
              <w:spacing w:after="0"/>
              <w:rPr>
                <w:rFonts w:asciiTheme="minorHAnsi" w:hAnsiTheme="minorHAnsi"/>
                <w:b/>
                <w:i/>
                <w:szCs w:val="22"/>
              </w:rPr>
            </w:pPr>
            <w:r w:rsidRPr="009C732B">
              <w:rPr>
                <w:rFonts w:asciiTheme="minorHAnsi" w:hAnsiTheme="minorHAnsi"/>
                <w:i/>
                <w:szCs w:val="22"/>
              </w:rPr>
              <w:t>Available to be collected and interpreted in a timely manner.</w:t>
            </w:r>
          </w:p>
          <w:p w:rsidR="009C732B" w:rsidRPr="009C732B" w:rsidRDefault="009C732B" w:rsidP="009C732B">
            <w:pPr>
              <w:pStyle w:val="ListParagraph"/>
              <w:numPr>
                <w:ilvl w:val="0"/>
                <w:numId w:val="9"/>
              </w:numPr>
              <w:spacing w:after="0"/>
              <w:rPr>
                <w:rFonts w:asciiTheme="minorHAnsi" w:hAnsiTheme="minorHAnsi"/>
                <w:b/>
                <w:szCs w:val="22"/>
              </w:rPr>
            </w:pPr>
            <w:r w:rsidRPr="009C732B">
              <w:rPr>
                <w:rFonts w:asciiTheme="minorHAnsi" w:hAnsiTheme="minorHAnsi"/>
                <w:i/>
                <w:szCs w:val="22"/>
              </w:rPr>
              <w:t>Available to be measured over time</w:t>
            </w:r>
          </w:p>
        </w:tc>
      </w:tr>
    </w:tbl>
    <w:p w:rsidR="009C732B" w:rsidRPr="009C732B" w:rsidRDefault="009C732B" w:rsidP="009C732B">
      <w:pPr>
        <w:spacing w:after="0"/>
        <w:rPr>
          <w:rFonts w:asciiTheme="minorHAnsi" w:hAnsiTheme="minorHAnsi"/>
          <w:szCs w:val="22"/>
        </w:rPr>
      </w:pPr>
    </w:p>
    <w:p w:rsidR="009C732B" w:rsidRPr="009C732B" w:rsidRDefault="009C732B" w:rsidP="009C732B">
      <w:pPr>
        <w:spacing w:after="0"/>
        <w:rPr>
          <w:rFonts w:asciiTheme="minorHAnsi" w:hAnsiTheme="minorHAnsi"/>
          <w:szCs w:val="22"/>
        </w:rPr>
      </w:pPr>
      <w:r w:rsidRPr="009C732B">
        <w:rPr>
          <w:rFonts w:asciiTheme="minorHAnsi" w:hAnsiTheme="minorHAnsi"/>
          <w:szCs w:val="22"/>
        </w:rPr>
        <w:t xml:space="preserve">The Availability criterion was separated from the rest of the list. It was decided that while this criterion was very important in developing a suite of health equity indicators, there were significant issues related to its use. The first is that many members of the working group would not have enough information to apply this criterion to the indicators. The second issue is that if an indicator scores highly on everything else, but is not available, there is no capacity, at this point in the project, to develop the data infrastructure to report on this indicator. Therefore, it was decided that once a preliminary list was developed, using the seven criteria above, a small group with knowledge of data availability would then move indicators into one of two lists: those that had scored high and are available; and those that had scored high but are not available. The list of indicators not available will be set aside until such time that data infrastructure is available.  </w:t>
      </w:r>
    </w:p>
    <w:p w:rsidR="009C732B" w:rsidRPr="009C732B" w:rsidRDefault="009C732B" w:rsidP="009C732B">
      <w:pPr>
        <w:spacing w:after="0"/>
        <w:rPr>
          <w:rFonts w:asciiTheme="minorHAnsi" w:hAnsiTheme="minorHAnsi"/>
          <w:szCs w:val="22"/>
        </w:rPr>
      </w:pPr>
    </w:p>
    <w:sectPr w:rsidR="009C732B" w:rsidRPr="009C73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opplPontifexBE-Regular">
    <w:panose1 w:val="00000000000000000000"/>
    <w:charset w:val="00"/>
    <w:family w:val="roman"/>
    <w:notTrueType/>
    <w:pitch w:val="default"/>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700"/>
    <w:multiLevelType w:val="hybridMultilevel"/>
    <w:tmpl w:val="DE52B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29C27CD"/>
    <w:multiLevelType w:val="hybridMultilevel"/>
    <w:tmpl w:val="41A61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3E6B5E"/>
    <w:multiLevelType w:val="multilevel"/>
    <w:tmpl w:val="CEA66E12"/>
    <w:lvl w:ilvl="0">
      <w:start w:val="1"/>
      <w:numFmt w:val="decimal"/>
      <w:pStyle w:val="ListParagraph"/>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37811B2B"/>
    <w:multiLevelType w:val="hybridMultilevel"/>
    <w:tmpl w:val="D6A079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7B267DF"/>
    <w:multiLevelType w:val="hybridMultilevel"/>
    <w:tmpl w:val="8528C8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8C107D2"/>
    <w:multiLevelType w:val="hybridMultilevel"/>
    <w:tmpl w:val="AE847E44"/>
    <w:lvl w:ilvl="0" w:tplc="E640B2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246F1E"/>
    <w:multiLevelType w:val="hybridMultilevel"/>
    <w:tmpl w:val="3D508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B53659B"/>
    <w:multiLevelType w:val="hybridMultilevel"/>
    <w:tmpl w:val="8CB800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7B8876BD"/>
    <w:multiLevelType w:val="hybridMultilevel"/>
    <w:tmpl w:val="02944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8"/>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efaultTabStop w:val="720"/>
  <w:characterSpacingControl w:val="doNotCompress"/>
  <w:compat/>
  <w:rsids>
    <w:rsidRoot w:val="009C732B"/>
    <w:rsid w:val="009C732B"/>
    <w:rsid w:val="00DE4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2B"/>
    <w:pPr>
      <w:spacing w:after="180" w:line="240" w:lineRule="auto"/>
    </w:pPr>
    <w:rPr>
      <w:rFonts w:ascii="Arial" w:eastAsia="Times New Roman" w:hAnsi="Arial"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9C732B"/>
    <w:pPr>
      <w:numPr>
        <w:numId w:val="1"/>
      </w:numPr>
      <w:spacing w:after="80"/>
      <w:contextualSpacing/>
    </w:pPr>
    <w:rPr>
      <w:rFonts w:cs="PopplPontifexBE-Regular"/>
      <w:color w:val="000000"/>
      <w:lang w:val="en-US"/>
    </w:rPr>
  </w:style>
  <w:style w:type="paragraph" w:customStyle="1" w:styleId="MainText">
    <w:name w:val="Main Text"/>
    <w:basedOn w:val="Normal"/>
    <w:link w:val="MainTextChar"/>
    <w:qFormat/>
    <w:rsid w:val="009C732B"/>
    <w:pPr>
      <w:autoSpaceDE w:val="0"/>
      <w:autoSpaceDN w:val="0"/>
      <w:adjustRightInd w:val="0"/>
      <w:spacing w:after="0" w:line="276" w:lineRule="auto"/>
    </w:pPr>
    <w:rPr>
      <w:rFonts w:ascii="Gotham Book" w:hAnsi="Gotham Book" w:cstheme="minorHAnsi"/>
      <w:color w:val="000000"/>
      <w:sz w:val="24"/>
      <w:lang w:val="en-US" w:eastAsia="en-CA"/>
    </w:rPr>
  </w:style>
  <w:style w:type="character" w:customStyle="1" w:styleId="MainTextChar">
    <w:name w:val="Main Text Char"/>
    <w:basedOn w:val="DefaultParagraphFont"/>
    <w:link w:val="MainText"/>
    <w:rsid w:val="009C732B"/>
    <w:rPr>
      <w:rFonts w:ascii="Gotham Book" w:eastAsia="Times New Roman" w:hAnsi="Gotham Book" w:cstheme="minorHAnsi"/>
      <w:color w:val="000000"/>
      <w:sz w:val="24"/>
      <w:szCs w:val="24"/>
      <w:lang w:eastAsia="en-CA"/>
    </w:rPr>
  </w:style>
  <w:style w:type="paragraph" w:styleId="BalloonText">
    <w:name w:val="Balloon Text"/>
    <w:basedOn w:val="Normal"/>
    <w:link w:val="BalloonTextChar"/>
    <w:uiPriority w:val="99"/>
    <w:semiHidden/>
    <w:unhideWhenUsed/>
    <w:rsid w:val="009C73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2B"/>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Value>Researchers</Value>
    </Audience1>
    <DocumentLanguage xmlns="4de64c37-ebdf-406a-9f1b-af099cf715f4" xsi:nil="true"/>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Statistics and Reports</TermName>
          <TermId xmlns="http://schemas.microsoft.com/office/infopath/2007/PartnerControls">994c3a8d-65b4-42f2-946b-c92adca9e378</TermId>
        </TermInfo>
      </Terms>
    </d54dd449c2c54af89444c3906a20b699>
    <TaxCatchAll xmlns="2a1cf95e-a2cb-4d0f-9c16-7db7b13007cf">
      <Value>83</Value>
    </TaxCatchAll>
    <k05366dfea714127ab8826af69afb524 xmlns="2a1cf95e-a2cb-4d0f-9c16-7db7b13007cf">
      <Terms xmlns="http://schemas.microsoft.com/office/infopath/2007/PartnerControls"/>
    </k05366dfea714127ab8826af69afb524>
    <_dlc_DocId xmlns="2a1cf95e-a2cb-4d0f-9c16-7db7b13007cf">BCCDC-1957235667-144</_dlc_DocId>
    <_dlc_DocIdUrl xmlns="2a1cf95e-a2cb-4d0f-9c16-7db7b13007cf">
      <Url>http://www.bccdc.ca/pop-public-health/_layouts/15/DocIdRedir.aspx?ID=BCCDC-1957235667-144</Url>
      <Description>BCCDC-1957235667-144</Description>
    </_dlc_DocIdUrl>
    <HideDocument xmlns="2a1cf95e-a2cb-4d0f-9c16-7db7b13007cf">false</HideDocument>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Wor</b:Tag>
    <b:SourceType>Misc</b:SourceType>
    <b:Guid>{B593383D-FA08-44A7-B882-789A59865813}</b:Guid>
    <b:Author>
      <b:Author>
        <b:Corporate>World Health Organization, as cited in PHSA, Criteria for Selecting Priority Health Equity Indicators, Background Report for Health Equity Indicators Technical Working Group, November 15, 2012 [cited January 23, 2013]</b:Corporate>
      </b:Author>
    </b:Author>
    <b:RefOrder>23</b:RefOrder>
  </b:Source>
  <b:Source>
    <b:Tag>2Fr</b:Tag>
    <b:SourceType>Misc</b:SourceType>
    <b:Guid>{73E355A5-04A0-4578-A147-F31E000CC08E}</b:Guid>
    <b:Author>
      <b:Author>
        <b:Corporate>Frank J, Haw S, as cited in Wellspring Strategies, Promoting Health Equity: Choosing Appropriate Indicators and Setting Targets, Background Report for Choosing Health Equity Indicators for BC, Provincial Health Services Authority, September 2012</b:Corporate>
      </b:Author>
    </b:Author>
    <b:Title>[cited January 23, 2013]</b:Title>
    <b:RefOrder>21</b:RefOrder>
  </b:Source>
  <b:Source>
    <b:Tag>1Et</b:Tag>
    <b:SourceType>Misc</b:SourceType>
    <b:Guid>{A05788D7-CD41-47FB-8DFD-42BCDB206F50}</b:Guid>
    <b:Author>
      <b:Author>
        <b:Corporate>Etches V et al, as cited in Wellspring Strategies, Promoting Health Equity: Choosing Appropriate Indicators and Setting Targets, Background Report for Choosing Health Equity Indicators for BC, Provincial Health Services Authority, September 2012</b:Corporate>
      </b:Author>
    </b:Author>
    <b:Title>[cited January 24, 2013]</b:Title>
    <b:RefOrder>20</b:RefOrder>
  </b:Source>
  <b:Source>
    <b:Tag>Hay</b:Tag>
    <b:SourceType>Misc</b:SourceType>
    <b:Guid>{6C5F4DCF-EA35-4883-ACDC-72456EE93B00}</b:Guid>
    <b:Author>
      <b:Author>
        <b:Corporate>Hayward K, as cited in Wellspring Strategies, Promoting Health Equity: Choosing Appropriate Indicators and Setting Targets, Background Report for Choosing Health Equity Indicators for BC, Provincial Health Services Authority, September 2012</b:Corporate>
      </b:Author>
    </b:Author>
    <b:Title>[cited January 23, 2013]</b:Title>
    <b:RefOrder>19</b:RefOrder>
  </b:Source>
  <b:Source>
    <b:Tag>1Na</b:Tag>
    <b:SourceType>Misc</b:SourceType>
    <b:Guid>{D5FEDF2D-B8B0-47E6-9DD2-5FDC3D1E1F53}</b:Guid>
    <b:Author>
      <b:Author>
        <b:Corporate>National Collaborating Center for Methods and Tools, as cited in Wellspring Strategies, Promoting Health Equity: Choosing Appropriate Indicators and Setting Targets, Background Report for Choosing Health Equity Indicators for BC,</b:Corporate>
      </b:Author>
    </b:Author>
    <b:Title>Provincial Health Services Authority, September 12, 2012 [cited February 1, 2013]</b:Title>
    <b:RefOrder>22</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419CB-04C1-440B-9C26-3E683DDDE16A}"/>
</file>

<file path=customXml/itemProps2.xml><?xml version="1.0" encoding="utf-8"?>
<ds:datastoreItem xmlns:ds="http://schemas.openxmlformats.org/officeDocument/2006/customXml" ds:itemID="{ACCFD146-3DEC-40A3-9230-2FAF0FE1A1F9}"/>
</file>

<file path=customXml/itemProps3.xml><?xml version="1.0" encoding="utf-8"?>
<ds:datastoreItem xmlns:ds="http://schemas.openxmlformats.org/officeDocument/2006/customXml" ds:itemID="{9BD87B71-2E9F-4610-ADBF-1B043CFDCF10}"/>
</file>

<file path=customXml/itemProps4.xml><?xml version="1.0" encoding="utf-8"?>
<ds:datastoreItem xmlns:ds="http://schemas.openxmlformats.org/officeDocument/2006/customXml" ds:itemID="{DBA00BBD-7222-46C7-B8A6-E186E7755D53}"/>
</file>

<file path=customXml/itemProps5.xml><?xml version="1.0" encoding="utf-8"?>
<ds:datastoreItem xmlns:ds="http://schemas.openxmlformats.org/officeDocument/2006/customXml" ds:itemID="{8DE1014F-6B32-4A63-8400-F82C45325E9C}"/>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2490</Characters>
  <Application>Microsoft Office Word</Application>
  <DocSecurity>0</DocSecurity>
  <Lines>20</Lines>
  <Paragraphs>5</Paragraphs>
  <ScaleCrop>false</ScaleCrop>
  <Company>PHSABC</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Rita.Zhang</dc:creator>
  <cp:keywords/>
  <dc:description/>
  <cp:lastModifiedBy>Rita.Zhang</cp:lastModifiedBy>
  <cp:revision>2</cp:revision>
  <dcterms:created xsi:type="dcterms:W3CDTF">2014-03-26T21:59:00Z</dcterms:created>
  <dcterms:modified xsi:type="dcterms:W3CDTF">2014-03-26T22:01:00Z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ResourceCategory">
    <vt:lpwstr>83;#Statistics and Reports|994c3a8d-65b4-42f2-946b-c92adca9e378</vt:lpwstr>
  </property>
  <property fmtid="{D5CDD505-2E9C-101B-9397-08002B2CF9AE}" pid="4" name="ResourceType">
    <vt:lpwstr/>
  </property>
  <property fmtid="{D5CDD505-2E9C-101B-9397-08002B2CF9AE}" pid="5" name="_dlc_DocIdItemGuid">
    <vt:lpwstr>937f1786-30d8-412b-bc95-08fa02970cff</vt:lpwstr>
  </property>
</Properties>
</file>